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75B6A4" w14:textId="77777777" w:rsidR="00BA7812" w:rsidRDefault="00BA7812">
      <w:pPr>
        <w:rPr>
          <w:rFonts w:ascii="黑体" w:eastAsia="黑体" w:hAnsi="黑体" w:hint="eastAsia"/>
          <w:sz w:val="32"/>
          <w:szCs w:val="32"/>
        </w:rPr>
      </w:pPr>
    </w:p>
    <w:p w14:paraId="53EC6042" w14:textId="77777777" w:rsidR="00BA7812" w:rsidRDefault="00BA7812">
      <w:pPr>
        <w:jc w:val="center"/>
        <w:rPr>
          <w:rFonts w:ascii="方正小标宋_GBK" w:eastAsia="方正小标宋_GBK" w:hAnsi="宋体" w:hint="eastAsia"/>
          <w:sz w:val="44"/>
          <w:szCs w:val="44"/>
        </w:rPr>
      </w:pPr>
    </w:p>
    <w:p w14:paraId="2E35A409" w14:textId="77777777" w:rsidR="00BA7812"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中共木垒哈萨克自治县直属机关工作委员会</w:t>
      </w:r>
    </w:p>
    <w:p w14:paraId="5AE2C1DD" w14:textId="77777777" w:rsidR="00BA7812"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2023年度部门决算</w:t>
      </w:r>
    </w:p>
    <w:p w14:paraId="483417E5" w14:textId="77777777" w:rsidR="00BA7812"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14:paraId="11859984" w14:textId="77777777" w:rsidR="00BA7812" w:rsidRDefault="00000000">
      <w:pPr>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14:paraId="4D5F10F4" w14:textId="77777777" w:rsidR="00BA7812" w:rsidRDefault="00000000">
      <w:pPr>
        <w:jc w:val="center"/>
        <w:rPr>
          <w:rFonts w:ascii="仿宋_GB2312" w:eastAsia="仿宋_GB2312" w:hAnsi="仿宋_GB2312" w:cs="仿宋_GB2312" w:hint="eastAsia"/>
          <w:bCs/>
          <w:kern w:val="0"/>
          <w:sz w:val="32"/>
          <w:szCs w:val="32"/>
        </w:rPr>
      </w:pPr>
      <w:r>
        <w:rPr>
          <w:rFonts w:ascii="仿宋_GB2312" w:eastAsia="仿宋_GB2312" w:hAnsi="仿宋_GB2312" w:cs="仿宋_GB2312" w:hint="eastAsia"/>
          <w:b/>
          <w:kern w:val="0"/>
          <w:sz w:val="36"/>
          <w:szCs w:val="36"/>
        </w:rPr>
        <w:lastRenderedPageBreak/>
        <w:t>目  录</w:t>
      </w:r>
    </w:p>
    <w:p w14:paraId="531A3CBA" w14:textId="77777777" w:rsidR="00BA7812" w:rsidRDefault="00000000">
      <w:pPr>
        <w:pStyle w:val="TOC1"/>
        <w:tabs>
          <w:tab w:val="right" w:pos="8306"/>
        </w:tabs>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Pr>
            <w:rFonts w:ascii="仿宋_GB2312" w:eastAsia="仿宋_GB2312" w:hAnsi="仿宋_GB2312" w:cs="仿宋_GB2312" w:hint="eastAsia"/>
            <w:b/>
            <w:bCs/>
            <w:sz w:val="32"/>
            <w:szCs w:val="32"/>
          </w:rPr>
          <w:t>第一部分 单位概况</w:t>
        </w:r>
      </w:hyperlink>
    </w:p>
    <w:p w14:paraId="30988E7A" w14:textId="77777777" w:rsidR="00BA7812" w:rsidRDefault="00000000">
      <w:pPr>
        <w:pStyle w:val="TOC2"/>
        <w:tabs>
          <w:tab w:val="right" w:pos="8306"/>
        </w:tabs>
        <w:ind w:leftChars="0" w:left="0"/>
        <w:rPr>
          <w:rFonts w:ascii="仿宋_GB2312" w:eastAsia="仿宋_GB2312" w:hAnsi="仿宋_GB2312" w:cs="仿宋_GB2312" w:hint="eastAsia"/>
          <w:sz w:val="32"/>
          <w:szCs w:val="32"/>
        </w:rPr>
      </w:pPr>
      <w:hyperlink w:anchor="_Toc30567" w:history="1">
        <w:r>
          <w:rPr>
            <w:rFonts w:ascii="仿宋_GB2312" w:eastAsia="仿宋_GB2312" w:hAnsi="仿宋_GB2312" w:cs="仿宋_GB2312" w:hint="eastAsia"/>
            <w:bCs/>
            <w:kern w:val="0"/>
            <w:sz w:val="32"/>
            <w:szCs w:val="32"/>
          </w:rPr>
          <w:t>一、主要职能</w:t>
        </w:r>
      </w:hyperlink>
    </w:p>
    <w:p w14:paraId="679EAF2A" w14:textId="77777777" w:rsidR="00BA7812" w:rsidRDefault="00000000">
      <w:pPr>
        <w:pStyle w:val="TOC2"/>
        <w:tabs>
          <w:tab w:val="right" w:pos="8306"/>
        </w:tabs>
        <w:ind w:leftChars="0" w:left="0"/>
        <w:rPr>
          <w:rFonts w:ascii="仿宋_GB2312" w:eastAsia="仿宋_GB2312" w:hAnsi="仿宋_GB2312" w:cs="仿宋_GB2312" w:hint="eastAsia"/>
          <w:sz w:val="32"/>
          <w:szCs w:val="32"/>
        </w:rPr>
      </w:pPr>
      <w:hyperlink w:anchor="_Toc2151" w:history="1">
        <w:r>
          <w:rPr>
            <w:rFonts w:ascii="仿宋_GB2312" w:eastAsia="仿宋_GB2312" w:hAnsi="仿宋_GB2312" w:cs="仿宋_GB2312" w:hint="eastAsia"/>
            <w:bCs/>
            <w:kern w:val="0"/>
            <w:sz w:val="32"/>
            <w:szCs w:val="32"/>
          </w:rPr>
          <w:t>二、机构设置及人员情况</w:t>
        </w:r>
      </w:hyperlink>
    </w:p>
    <w:p w14:paraId="4DB2DE16" w14:textId="77777777" w:rsidR="00BA7812" w:rsidRDefault="00000000">
      <w:pPr>
        <w:pStyle w:val="TOC1"/>
        <w:tabs>
          <w:tab w:val="right" w:pos="8306"/>
        </w:tabs>
        <w:rPr>
          <w:rFonts w:ascii="仿宋_GB2312" w:eastAsia="仿宋_GB2312" w:hAnsi="仿宋_GB2312" w:cs="仿宋_GB2312" w:hint="eastAsia"/>
          <w:b/>
          <w:bCs/>
          <w:sz w:val="32"/>
          <w:szCs w:val="32"/>
        </w:rPr>
      </w:pPr>
      <w:hyperlink w:anchor="_Toc29374" w:history="1">
        <w:r>
          <w:rPr>
            <w:rFonts w:ascii="仿宋_GB2312" w:eastAsia="仿宋_GB2312" w:hAnsi="仿宋_GB2312" w:cs="仿宋_GB2312" w:hint="eastAsia"/>
            <w:b/>
            <w:bCs/>
            <w:sz w:val="32"/>
            <w:szCs w:val="32"/>
          </w:rPr>
          <w:t>第二部分 部门决算情况说明</w:t>
        </w:r>
      </w:hyperlink>
    </w:p>
    <w:p w14:paraId="61FEC72F" w14:textId="77777777" w:rsidR="00BA7812" w:rsidRDefault="00000000">
      <w:pPr>
        <w:pStyle w:val="TOC2"/>
        <w:tabs>
          <w:tab w:val="right" w:pos="8306"/>
        </w:tabs>
        <w:ind w:leftChars="0" w:left="0"/>
        <w:rPr>
          <w:rFonts w:ascii="仿宋_GB2312" w:eastAsia="仿宋_GB2312" w:hAnsi="仿宋_GB2312" w:cs="仿宋_GB2312" w:hint="eastAsia"/>
          <w:sz w:val="32"/>
          <w:szCs w:val="32"/>
        </w:rPr>
      </w:pPr>
      <w:hyperlink w:anchor="_Toc25314" w:history="1">
        <w:r>
          <w:rPr>
            <w:rFonts w:ascii="仿宋_GB2312" w:eastAsia="仿宋_GB2312" w:hAnsi="仿宋_GB2312" w:cs="仿宋_GB2312" w:hint="eastAsia"/>
            <w:bCs/>
            <w:kern w:val="0"/>
            <w:sz w:val="32"/>
            <w:szCs w:val="32"/>
          </w:rPr>
          <w:t>一、收入支出决算总体情况说明</w:t>
        </w:r>
      </w:hyperlink>
    </w:p>
    <w:p w14:paraId="062C4413" w14:textId="77777777" w:rsidR="00BA7812" w:rsidRDefault="00000000">
      <w:pPr>
        <w:pStyle w:val="TOC2"/>
        <w:tabs>
          <w:tab w:val="right" w:pos="8306"/>
        </w:tabs>
        <w:ind w:leftChars="0" w:left="0"/>
        <w:rPr>
          <w:rFonts w:ascii="仿宋_GB2312" w:eastAsia="仿宋_GB2312" w:hAnsi="仿宋_GB2312" w:cs="仿宋_GB2312" w:hint="eastAsia"/>
          <w:sz w:val="32"/>
          <w:szCs w:val="32"/>
        </w:rPr>
      </w:pPr>
      <w:hyperlink w:anchor="_Toc12142" w:history="1">
        <w:r>
          <w:rPr>
            <w:rFonts w:ascii="仿宋_GB2312" w:eastAsia="仿宋_GB2312" w:hAnsi="仿宋_GB2312" w:cs="仿宋_GB2312" w:hint="eastAsia"/>
            <w:bCs/>
            <w:kern w:val="0"/>
            <w:sz w:val="32"/>
            <w:szCs w:val="32"/>
          </w:rPr>
          <w:t>二、收入决算情况说明</w:t>
        </w:r>
      </w:hyperlink>
    </w:p>
    <w:p w14:paraId="6B3C32E4" w14:textId="77777777" w:rsidR="00BA7812" w:rsidRDefault="00000000">
      <w:pPr>
        <w:pStyle w:val="TOC2"/>
        <w:tabs>
          <w:tab w:val="right" w:pos="8306"/>
        </w:tabs>
        <w:ind w:leftChars="0" w:left="0"/>
        <w:rPr>
          <w:rFonts w:ascii="仿宋_GB2312" w:eastAsia="仿宋_GB2312" w:hAnsi="仿宋_GB2312" w:cs="仿宋_GB2312" w:hint="eastAsia"/>
          <w:sz w:val="32"/>
          <w:szCs w:val="32"/>
        </w:rPr>
      </w:pPr>
      <w:hyperlink w:anchor="_Toc13201" w:history="1">
        <w:r>
          <w:rPr>
            <w:rFonts w:ascii="仿宋_GB2312" w:eastAsia="仿宋_GB2312" w:hAnsi="仿宋_GB2312" w:cs="仿宋_GB2312" w:hint="eastAsia"/>
            <w:bCs/>
            <w:kern w:val="0"/>
            <w:sz w:val="32"/>
            <w:szCs w:val="32"/>
          </w:rPr>
          <w:t>三、支出决算情况说明</w:t>
        </w:r>
      </w:hyperlink>
    </w:p>
    <w:p w14:paraId="7F79322F" w14:textId="77777777" w:rsidR="00BA7812" w:rsidRDefault="00000000">
      <w:pPr>
        <w:pStyle w:val="TOC2"/>
        <w:tabs>
          <w:tab w:val="right" w:pos="8306"/>
        </w:tabs>
        <w:ind w:leftChars="0" w:left="0"/>
        <w:rPr>
          <w:rFonts w:ascii="仿宋_GB2312" w:eastAsia="仿宋_GB2312" w:hAnsi="仿宋_GB2312" w:cs="仿宋_GB2312" w:hint="eastAsia"/>
          <w:sz w:val="32"/>
          <w:szCs w:val="32"/>
        </w:rPr>
      </w:pPr>
      <w:hyperlink w:anchor="_Toc26564" w:history="1">
        <w:r>
          <w:rPr>
            <w:rFonts w:ascii="仿宋_GB2312" w:eastAsia="仿宋_GB2312" w:hAnsi="仿宋_GB2312" w:cs="仿宋_GB2312" w:hint="eastAsia"/>
            <w:bCs/>
            <w:kern w:val="0"/>
            <w:sz w:val="32"/>
            <w:szCs w:val="32"/>
          </w:rPr>
          <w:t>四、财政拨款收入支出决算总体情况说明</w:t>
        </w:r>
      </w:hyperlink>
    </w:p>
    <w:p w14:paraId="678741DD" w14:textId="77777777" w:rsidR="00BA7812" w:rsidRDefault="00000000">
      <w:pPr>
        <w:pStyle w:val="TOC2"/>
        <w:tabs>
          <w:tab w:val="right" w:pos="8306"/>
        </w:tabs>
        <w:ind w:leftChars="0" w:left="0"/>
        <w:rPr>
          <w:rFonts w:ascii="仿宋_GB2312" w:eastAsia="仿宋_GB2312" w:hAnsi="仿宋_GB2312" w:cs="仿宋_GB2312" w:hint="eastAsia"/>
          <w:sz w:val="32"/>
          <w:szCs w:val="32"/>
        </w:rPr>
      </w:pPr>
      <w:hyperlink w:anchor="_Toc20360" w:history="1">
        <w:r>
          <w:rPr>
            <w:rFonts w:ascii="仿宋_GB2312" w:eastAsia="仿宋_GB2312" w:hAnsi="仿宋_GB2312" w:cs="仿宋_GB2312" w:hint="eastAsia"/>
            <w:bCs/>
            <w:kern w:val="0"/>
            <w:sz w:val="32"/>
            <w:szCs w:val="32"/>
          </w:rPr>
          <w:t>五、一般公共预算财政拨款支出决算情况说明</w:t>
        </w:r>
      </w:hyperlink>
    </w:p>
    <w:p w14:paraId="4AF6A0D0" w14:textId="77777777" w:rsidR="00BA7812" w:rsidRDefault="00000000">
      <w:pPr>
        <w:pStyle w:val="TOC2"/>
        <w:tabs>
          <w:tab w:val="right" w:pos="8306"/>
        </w:tabs>
        <w:ind w:leftChars="0" w:left="0"/>
        <w:rPr>
          <w:rFonts w:ascii="仿宋_GB2312" w:eastAsia="仿宋_GB2312" w:hAnsi="仿宋_GB2312" w:cs="仿宋_GB2312" w:hint="eastAsia"/>
          <w:sz w:val="32"/>
          <w:szCs w:val="32"/>
        </w:rPr>
      </w:pPr>
      <w:hyperlink w:anchor="_Toc30870" w:history="1">
        <w:r>
          <w:rPr>
            <w:rFonts w:ascii="仿宋_GB2312" w:eastAsia="仿宋_GB2312" w:hAnsi="仿宋_GB2312" w:cs="仿宋_GB2312" w:hint="eastAsia"/>
            <w:bCs/>
            <w:kern w:val="0"/>
            <w:sz w:val="32"/>
            <w:szCs w:val="32"/>
          </w:rPr>
          <w:t>六、一般公共预算财政拨款基本支出决算情况说明</w:t>
        </w:r>
      </w:hyperlink>
    </w:p>
    <w:p w14:paraId="72842A1F" w14:textId="77777777" w:rsidR="00BA7812" w:rsidRDefault="00000000">
      <w:pPr>
        <w:pStyle w:val="TOC2"/>
        <w:tabs>
          <w:tab w:val="right" w:pos="8306"/>
        </w:tabs>
        <w:ind w:leftChars="0" w:left="0"/>
        <w:rPr>
          <w:rFonts w:ascii="仿宋_GB2312" w:eastAsia="仿宋_GB2312" w:hAnsi="仿宋_GB2312" w:cs="仿宋_GB2312" w:hint="eastAsia"/>
          <w:sz w:val="32"/>
          <w:szCs w:val="32"/>
        </w:rPr>
      </w:pPr>
      <w:hyperlink w:anchor="_Toc21518" w:history="1">
        <w:r>
          <w:rPr>
            <w:rFonts w:ascii="仿宋_GB2312" w:eastAsia="仿宋_GB2312" w:hAnsi="仿宋_GB2312" w:cs="仿宋_GB2312" w:hint="eastAsia"/>
            <w:bCs/>
            <w:kern w:val="0"/>
            <w:sz w:val="32"/>
            <w:szCs w:val="32"/>
          </w:rPr>
          <w:t>七、财政拨款“三公”经费支出决算情况说明</w:t>
        </w:r>
      </w:hyperlink>
    </w:p>
    <w:p w14:paraId="5350C9F1" w14:textId="77777777" w:rsidR="00BA7812" w:rsidRDefault="00000000">
      <w:pPr>
        <w:pStyle w:val="TOC2"/>
        <w:tabs>
          <w:tab w:val="right" w:pos="8306"/>
        </w:tabs>
        <w:ind w:leftChars="0" w:left="0"/>
        <w:rPr>
          <w:rFonts w:ascii="仿宋_GB2312" w:eastAsia="仿宋_GB2312" w:hAnsi="仿宋_GB2312" w:cs="仿宋_GB2312" w:hint="eastAsia"/>
          <w:sz w:val="32"/>
          <w:szCs w:val="32"/>
        </w:rPr>
      </w:pPr>
      <w:hyperlink w:anchor="_Toc5810" w:history="1">
        <w:r>
          <w:rPr>
            <w:rFonts w:ascii="仿宋_GB2312" w:eastAsia="仿宋_GB2312" w:hAnsi="仿宋_GB2312" w:cs="仿宋_GB2312" w:hint="eastAsia"/>
            <w:bCs/>
            <w:kern w:val="0"/>
            <w:sz w:val="32"/>
            <w:szCs w:val="32"/>
          </w:rPr>
          <w:t>八、政府性基金预算财政拨款收入支出决算情况说明</w:t>
        </w:r>
      </w:hyperlink>
    </w:p>
    <w:p w14:paraId="5D6004EE" w14:textId="77777777" w:rsidR="00BA7812" w:rsidRDefault="00000000">
      <w:hyperlink w:anchor="_Toc5810" w:history="1">
        <w:r>
          <w:rPr>
            <w:rFonts w:ascii="仿宋_GB2312" w:eastAsia="仿宋_GB2312" w:hAnsi="仿宋_GB2312" w:cs="仿宋_GB2312" w:hint="eastAsia"/>
            <w:bCs/>
            <w:kern w:val="0"/>
            <w:sz w:val="32"/>
            <w:szCs w:val="32"/>
          </w:rPr>
          <w:t>九、国有资本经营预算财政拨款收入支出决算情况说明</w:t>
        </w:r>
      </w:hyperlink>
    </w:p>
    <w:p w14:paraId="47AA0B42" w14:textId="77777777" w:rsidR="00BA7812" w:rsidRDefault="00000000">
      <w:pPr>
        <w:pStyle w:val="TOC2"/>
        <w:tabs>
          <w:tab w:val="right" w:pos="8306"/>
        </w:tabs>
        <w:ind w:leftChars="0" w:left="0"/>
        <w:rPr>
          <w:rFonts w:ascii="仿宋_GB2312" w:eastAsia="仿宋_GB2312" w:hAnsi="仿宋_GB2312" w:cs="仿宋_GB2312" w:hint="eastAsia"/>
          <w:sz w:val="32"/>
          <w:szCs w:val="32"/>
        </w:rPr>
      </w:pPr>
      <w:hyperlink w:anchor="_Toc1235" w:history="1">
        <w:r>
          <w:rPr>
            <w:rFonts w:ascii="仿宋_GB2312" w:eastAsia="仿宋_GB2312" w:hAnsi="仿宋_GB2312" w:cs="仿宋_GB2312" w:hint="eastAsia"/>
            <w:sz w:val="32"/>
            <w:szCs w:val="32"/>
          </w:rPr>
          <w:t>十</w:t>
        </w:r>
        <w:r>
          <w:rPr>
            <w:rFonts w:ascii="仿宋_GB2312" w:eastAsia="仿宋_GB2312" w:hAnsi="仿宋_GB2312" w:cs="仿宋_GB2312" w:hint="eastAsia"/>
            <w:bCs/>
            <w:kern w:val="0"/>
            <w:sz w:val="32"/>
            <w:szCs w:val="32"/>
          </w:rPr>
          <w:t>、其他重要事项的情况说明</w:t>
        </w:r>
      </w:hyperlink>
    </w:p>
    <w:p w14:paraId="617EB2EC" w14:textId="77777777" w:rsidR="00BA7812" w:rsidRDefault="00000000">
      <w:pPr>
        <w:pStyle w:val="TOC3"/>
        <w:tabs>
          <w:tab w:val="right" w:pos="8306"/>
        </w:tabs>
        <w:ind w:leftChars="0" w:left="0"/>
        <w:rPr>
          <w:rFonts w:ascii="仿宋_GB2312" w:eastAsia="仿宋_GB2312" w:hAnsi="仿宋_GB2312" w:cs="仿宋_GB2312" w:hint="eastAsia"/>
          <w:sz w:val="32"/>
          <w:szCs w:val="32"/>
        </w:rPr>
      </w:pPr>
      <w:hyperlink w:anchor="_Toc14519" w:history="1">
        <w:r>
          <w:rPr>
            <w:rFonts w:ascii="仿宋_GB2312" w:eastAsia="仿宋_GB2312" w:hAnsi="仿宋_GB2312" w:cs="仿宋_GB2312" w:hint="eastAsia"/>
            <w:sz w:val="32"/>
            <w:szCs w:val="32"/>
          </w:rPr>
          <w:t>（一）机关运行经费支出情况</w:t>
        </w:r>
      </w:hyperlink>
    </w:p>
    <w:p w14:paraId="54A300AB" w14:textId="77777777" w:rsidR="00BA7812" w:rsidRDefault="00000000">
      <w:pPr>
        <w:pStyle w:val="TOC3"/>
        <w:tabs>
          <w:tab w:val="right" w:pos="8306"/>
        </w:tabs>
        <w:ind w:leftChars="0" w:left="0"/>
        <w:rPr>
          <w:rFonts w:ascii="仿宋_GB2312" w:eastAsia="仿宋_GB2312" w:hAnsi="仿宋_GB2312" w:cs="仿宋_GB2312" w:hint="eastAsia"/>
          <w:sz w:val="32"/>
          <w:szCs w:val="32"/>
        </w:rPr>
      </w:pPr>
      <w:hyperlink w:anchor="_Toc227" w:history="1">
        <w:r>
          <w:rPr>
            <w:rFonts w:ascii="仿宋_GB2312" w:eastAsia="仿宋_GB2312" w:hAnsi="仿宋_GB2312" w:cs="仿宋_GB2312" w:hint="eastAsia"/>
            <w:sz w:val="32"/>
            <w:szCs w:val="32"/>
          </w:rPr>
          <w:t>（二）政府采购情况</w:t>
        </w:r>
      </w:hyperlink>
    </w:p>
    <w:p w14:paraId="0C5D8068" w14:textId="77777777" w:rsidR="00BA7812" w:rsidRDefault="00000000">
      <w:pPr>
        <w:pStyle w:val="TOC3"/>
        <w:tabs>
          <w:tab w:val="right" w:pos="8306"/>
        </w:tabs>
        <w:ind w:leftChars="0" w:left="0"/>
        <w:rPr>
          <w:rFonts w:ascii="仿宋_GB2312" w:eastAsia="仿宋_GB2312" w:hAnsi="仿宋_GB2312" w:cs="仿宋_GB2312" w:hint="eastAsia"/>
          <w:sz w:val="32"/>
          <w:szCs w:val="32"/>
        </w:rPr>
      </w:pPr>
      <w:hyperlink w:anchor="_Toc8391" w:history="1">
        <w:r>
          <w:rPr>
            <w:rFonts w:ascii="仿宋_GB2312" w:eastAsia="仿宋_GB2312" w:hAnsi="仿宋_GB2312" w:cs="仿宋_GB2312" w:hint="eastAsia"/>
            <w:sz w:val="32"/>
            <w:szCs w:val="32"/>
          </w:rPr>
          <w:t>（三）国有资产占用情况说明</w:t>
        </w:r>
      </w:hyperlink>
    </w:p>
    <w:p w14:paraId="7A13D8EA" w14:textId="77777777" w:rsidR="00BA7812" w:rsidRDefault="00000000">
      <w:pPr>
        <w:pStyle w:val="TOC2"/>
        <w:tabs>
          <w:tab w:val="right" w:pos="8306"/>
        </w:tabs>
        <w:ind w:leftChars="0" w:left="0"/>
        <w:rPr>
          <w:rFonts w:ascii="仿宋_GB2312" w:eastAsia="仿宋_GB2312" w:hAnsi="仿宋_GB2312" w:cs="仿宋_GB2312" w:hint="eastAsia"/>
          <w:sz w:val="32"/>
          <w:szCs w:val="32"/>
        </w:rPr>
      </w:pPr>
      <w:hyperlink w:anchor="_Toc11283" w:history="1">
        <w:r>
          <w:rPr>
            <w:rFonts w:ascii="仿宋_GB2312" w:eastAsia="仿宋_GB2312" w:hAnsi="仿宋_GB2312" w:cs="仿宋_GB2312" w:hint="eastAsia"/>
            <w:bCs/>
            <w:kern w:val="0"/>
            <w:sz w:val="32"/>
            <w:szCs w:val="32"/>
          </w:rPr>
          <w:t>十一、预算绩效的情况说明</w:t>
        </w:r>
      </w:hyperlink>
    </w:p>
    <w:p w14:paraId="66757F9E" w14:textId="77777777" w:rsidR="00BA7812" w:rsidRDefault="00000000">
      <w:pPr>
        <w:pStyle w:val="TOC2"/>
        <w:tabs>
          <w:tab w:val="right" w:pos="8306"/>
        </w:tabs>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14:paraId="44ADBEEB" w14:textId="77777777" w:rsidR="00BA7812" w:rsidRDefault="00000000">
      <w:pPr>
        <w:pStyle w:val="TOC1"/>
        <w:tabs>
          <w:tab w:val="right" w:pos="8306"/>
        </w:tabs>
        <w:rPr>
          <w:rFonts w:ascii="仿宋_GB2312" w:eastAsia="仿宋_GB2312" w:hAnsi="仿宋_GB2312" w:cs="仿宋_GB2312" w:hint="eastAsia"/>
          <w:b/>
          <w:bCs/>
          <w:sz w:val="32"/>
          <w:szCs w:val="32"/>
        </w:rPr>
      </w:pPr>
      <w:hyperlink w:anchor="_Toc3250" w:history="1">
        <w:r>
          <w:rPr>
            <w:rFonts w:ascii="仿宋_GB2312" w:eastAsia="仿宋_GB2312" w:hAnsi="仿宋_GB2312" w:cs="仿宋_GB2312" w:hint="eastAsia"/>
            <w:b/>
            <w:bCs/>
            <w:sz w:val="32"/>
            <w:szCs w:val="32"/>
          </w:rPr>
          <w:t>第三部分 专业名词解释</w:t>
        </w:r>
      </w:hyperlink>
    </w:p>
    <w:p w14:paraId="58821423" w14:textId="77777777" w:rsidR="00BA7812" w:rsidRDefault="00000000">
      <w:pPr>
        <w:pStyle w:val="TOC1"/>
        <w:tabs>
          <w:tab w:val="right" w:pos="8306"/>
        </w:tabs>
        <w:rPr>
          <w:rFonts w:ascii="仿宋_GB2312" w:eastAsia="仿宋_GB2312" w:hAnsi="仿宋_GB2312" w:cs="仿宋_GB2312" w:hint="eastAsia"/>
          <w:b/>
          <w:bCs/>
          <w:sz w:val="32"/>
          <w:szCs w:val="32"/>
        </w:rPr>
      </w:pPr>
      <w:hyperlink w:anchor="_Toc22784" w:history="1">
        <w:r>
          <w:rPr>
            <w:rFonts w:ascii="仿宋_GB2312" w:eastAsia="仿宋_GB2312" w:hAnsi="仿宋_GB2312" w:cs="仿宋_GB2312" w:hint="eastAsia"/>
            <w:b/>
            <w:bCs/>
            <w:sz w:val="32"/>
            <w:szCs w:val="32"/>
          </w:rPr>
          <w:t>第四部分 部门决算报表（见附表）</w:t>
        </w:r>
      </w:hyperlink>
    </w:p>
    <w:p w14:paraId="114B6998" w14:textId="77777777" w:rsidR="00BA7812" w:rsidRDefault="00000000">
      <w:pPr>
        <w:pStyle w:val="TOC2"/>
        <w:tabs>
          <w:tab w:val="right" w:pos="8306"/>
        </w:tabs>
        <w:ind w:leftChars="0" w:left="0"/>
        <w:rPr>
          <w:rFonts w:ascii="仿宋_GB2312" w:eastAsia="仿宋_GB2312" w:hAnsi="仿宋_GB2312" w:cs="仿宋_GB2312" w:hint="eastAsia"/>
          <w:sz w:val="32"/>
          <w:szCs w:val="32"/>
        </w:rPr>
      </w:pPr>
      <w:hyperlink w:anchor="_Toc2183" w:history="1">
        <w:r>
          <w:rPr>
            <w:rFonts w:ascii="仿宋_GB2312" w:eastAsia="仿宋_GB2312" w:hAnsi="仿宋_GB2312" w:cs="仿宋_GB2312" w:hint="eastAsia"/>
            <w:bCs/>
            <w:kern w:val="0"/>
            <w:sz w:val="32"/>
            <w:szCs w:val="32"/>
          </w:rPr>
          <w:t>一、《收入支出决算总表》</w:t>
        </w:r>
      </w:hyperlink>
    </w:p>
    <w:p w14:paraId="151EAEC2" w14:textId="77777777" w:rsidR="00BA7812" w:rsidRDefault="00000000">
      <w:pPr>
        <w:pStyle w:val="TOC2"/>
        <w:tabs>
          <w:tab w:val="right" w:pos="8306"/>
        </w:tabs>
        <w:ind w:leftChars="0" w:left="0"/>
        <w:rPr>
          <w:rFonts w:ascii="仿宋_GB2312" w:eastAsia="仿宋_GB2312" w:hAnsi="仿宋_GB2312" w:cs="仿宋_GB2312" w:hint="eastAsia"/>
          <w:sz w:val="32"/>
          <w:szCs w:val="32"/>
        </w:rPr>
      </w:pPr>
      <w:hyperlink w:anchor="_Toc24532" w:history="1">
        <w:r>
          <w:rPr>
            <w:rFonts w:ascii="仿宋_GB2312" w:eastAsia="仿宋_GB2312" w:hAnsi="仿宋_GB2312" w:cs="仿宋_GB2312" w:hint="eastAsia"/>
            <w:bCs/>
            <w:kern w:val="0"/>
            <w:sz w:val="32"/>
            <w:szCs w:val="32"/>
          </w:rPr>
          <w:t>二、《收入决算表》</w:t>
        </w:r>
      </w:hyperlink>
    </w:p>
    <w:p w14:paraId="55230757" w14:textId="77777777" w:rsidR="00BA7812" w:rsidRDefault="00000000">
      <w:pPr>
        <w:pStyle w:val="TOC2"/>
        <w:tabs>
          <w:tab w:val="right" w:pos="8306"/>
        </w:tabs>
        <w:ind w:leftChars="0" w:left="0"/>
        <w:rPr>
          <w:rFonts w:ascii="仿宋_GB2312" w:eastAsia="仿宋_GB2312" w:hAnsi="仿宋_GB2312" w:cs="仿宋_GB2312" w:hint="eastAsia"/>
          <w:sz w:val="32"/>
          <w:szCs w:val="32"/>
        </w:rPr>
      </w:pPr>
      <w:hyperlink w:anchor="_Toc32434" w:history="1">
        <w:r>
          <w:rPr>
            <w:rFonts w:ascii="仿宋_GB2312" w:eastAsia="仿宋_GB2312" w:hAnsi="仿宋_GB2312" w:cs="仿宋_GB2312" w:hint="eastAsia"/>
            <w:bCs/>
            <w:kern w:val="0"/>
            <w:sz w:val="32"/>
            <w:szCs w:val="32"/>
          </w:rPr>
          <w:t>三、《支出决算表》</w:t>
        </w:r>
      </w:hyperlink>
    </w:p>
    <w:p w14:paraId="3BDD7DA8" w14:textId="77777777" w:rsidR="00BA7812" w:rsidRDefault="00000000">
      <w:pPr>
        <w:pStyle w:val="TOC2"/>
        <w:tabs>
          <w:tab w:val="right" w:pos="8306"/>
        </w:tabs>
        <w:ind w:leftChars="0" w:left="0"/>
        <w:rPr>
          <w:rFonts w:ascii="仿宋_GB2312" w:eastAsia="仿宋_GB2312" w:hAnsi="仿宋_GB2312" w:cs="仿宋_GB2312" w:hint="eastAsia"/>
          <w:sz w:val="32"/>
          <w:szCs w:val="32"/>
        </w:rPr>
      </w:pPr>
      <w:hyperlink w:anchor="_Toc28786" w:history="1">
        <w:r>
          <w:rPr>
            <w:rFonts w:ascii="仿宋_GB2312" w:eastAsia="仿宋_GB2312" w:hAnsi="仿宋_GB2312" w:cs="仿宋_GB2312" w:hint="eastAsia"/>
            <w:bCs/>
            <w:kern w:val="0"/>
            <w:sz w:val="32"/>
            <w:szCs w:val="32"/>
          </w:rPr>
          <w:t>四、《财政拨款收入支出决算总表》</w:t>
        </w:r>
      </w:hyperlink>
    </w:p>
    <w:p w14:paraId="3B2A62D5" w14:textId="77777777" w:rsidR="00BA7812" w:rsidRDefault="00000000">
      <w:pPr>
        <w:pStyle w:val="TOC2"/>
        <w:tabs>
          <w:tab w:val="right" w:pos="8306"/>
        </w:tabs>
        <w:ind w:leftChars="0" w:left="0"/>
        <w:rPr>
          <w:rFonts w:ascii="仿宋_GB2312" w:eastAsia="仿宋_GB2312" w:hAnsi="仿宋_GB2312" w:cs="仿宋_GB2312" w:hint="eastAsia"/>
          <w:sz w:val="32"/>
          <w:szCs w:val="32"/>
        </w:rPr>
      </w:pPr>
      <w:hyperlink w:anchor="_Toc14869" w:history="1">
        <w:r>
          <w:rPr>
            <w:rFonts w:ascii="仿宋_GB2312" w:eastAsia="仿宋_GB2312" w:hAnsi="仿宋_GB2312" w:cs="仿宋_GB2312" w:hint="eastAsia"/>
            <w:bCs/>
            <w:kern w:val="0"/>
            <w:sz w:val="32"/>
            <w:szCs w:val="32"/>
          </w:rPr>
          <w:t>五、《一般公共预算财政拨款支出决算表》</w:t>
        </w:r>
      </w:hyperlink>
    </w:p>
    <w:p w14:paraId="641E662F" w14:textId="77777777" w:rsidR="00BA7812" w:rsidRDefault="00000000">
      <w:pPr>
        <w:pStyle w:val="TOC2"/>
        <w:tabs>
          <w:tab w:val="right" w:pos="8306"/>
        </w:tabs>
        <w:ind w:leftChars="0" w:left="0"/>
        <w:rPr>
          <w:rFonts w:ascii="仿宋_GB2312" w:eastAsia="仿宋_GB2312" w:hAnsi="仿宋_GB2312" w:cs="仿宋_GB2312" w:hint="eastAsia"/>
          <w:sz w:val="32"/>
          <w:szCs w:val="32"/>
        </w:rPr>
      </w:pPr>
      <w:hyperlink w:anchor="_Toc8884" w:history="1">
        <w:r>
          <w:rPr>
            <w:rFonts w:ascii="仿宋_GB2312" w:eastAsia="仿宋_GB2312" w:hAnsi="仿宋_GB2312" w:cs="仿宋_GB2312" w:hint="eastAsia"/>
            <w:bCs/>
            <w:kern w:val="0"/>
            <w:sz w:val="32"/>
            <w:szCs w:val="32"/>
          </w:rPr>
          <w:t>六、《一般公共预算财政拨款基本支出决算表》</w:t>
        </w:r>
      </w:hyperlink>
    </w:p>
    <w:p w14:paraId="7D430CFC" w14:textId="77777777" w:rsidR="00BA7812" w:rsidRDefault="00000000">
      <w:pPr>
        <w:pStyle w:val="TOC2"/>
        <w:tabs>
          <w:tab w:val="right" w:pos="8306"/>
        </w:tabs>
        <w:ind w:leftChars="0" w:left="0"/>
        <w:rPr>
          <w:rFonts w:ascii="仿宋_GB2312" w:eastAsia="仿宋_GB2312" w:hAnsi="仿宋_GB2312" w:cs="仿宋_GB2312" w:hint="eastAsia"/>
          <w:sz w:val="32"/>
          <w:szCs w:val="32"/>
        </w:rPr>
      </w:pPr>
      <w:hyperlink w:anchor="_Toc29106" w:history="1">
        <w:r>
          <w:rPr>
            <w:rFonts w:ascii="仿宋_GB2312" w:eastAsia="仿宋_GB2312" w:hAnsi="仿宋_GB2312" w:cs="仿宋_GB2312" w:hint="eastAsia"/>
            <w:bCs/>
            <w:kern w:val="0"/>
            <w:sz w:val="32"/>
            <w:szCs w:val="32"/>
          </w:rPr>
          <w:t>七、《财政拨款“三公”经费支出决算表》</w:t>
        </w:r>
      </w:hyperlink>
    </w:p>
    <w:p w14:paraId="10561FAD" w14:textId="77777777" w:rsidR="00BA7812" w:rsidRDefault="00000000">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Pr>
            <w:rFonts w:ascii="仿宋_GB2312" w:eastAsia="仿宋_GB2312" w:hAnsi="仿宋_GB2312" w:cs="仿宋_GB2312" w:hint="eastAsia"/>
            <w:bCs/>
            <w:kern w:val="0"/>
            <w:sz w:val="32"/>
            <w:szCs w:val="32"/>
          </w:rPr>
          <w:t>八、《政府性基金预算财政拨款收入支出决算表》</w:t>
        </w:r>
      </w:hyperlink>
    </w:p>
    <w:p w14:paraId="5309FAB3" w14:textId="77777777" w:rsidR="00BA7812" w:rsidRDefault="00000000">
      <w:pPr>
        <w:pStyle w:val="TOC2"/>
        <w:tabs>
          <w:tab w:val="right" w:pos="8306"/>
        </w:tabs>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40E3907A" w14:textId="77777777" w:rsidR="00BA7812" w:rsidRDefault="00000000">
      <w:r>
        <w:rPr>
          <w:rFonts w:ascii="仿宋_GB2312" w:eastAsia="仿宋_GB2312" w:hAnsi="仿宋_GB2312" w:cs="仿宋_GB2312" w:hint="eastAsia"/>
          <w:sz w:val="32"/>
          <w:szCs w:val="32"/>
        </w:rPr>
        <w:fldChar w:fldCharType="end"/>
      </w:r>
    </w:p>
    <w:p w14:paraId="752A5DED" w14:textId="77777777" w:rsidR="00BA7812" w:rsidRDefault="00000000">
      <w:pPr>
        <w:rPr>
          <w:rFonts w:ascii="仿宋_GB2312" w:eastAsia="仿宋_GB2312"/>
          <w:sz w:val="32"/>
          <w:szCs w:val="32"/>
        </w:rPr>
      </w:pPr>
      <w:r>
        <w:rPr>
          <w:rFonts w:ascii="仿宋_GB2312" w:eastAsia="仿宋_GB2312" w:hint="eastAsia"/>
          <w:sz w:val="32"/>
          <w:szCs w:val="32"/>
        </w:rPr>
        <w:br w:type="page"/>
      </w:r>
    </w:p>
    <w:p w14:paraId="7562437B" w14:textId="77777777" w:rsidR="00BA7812" w:rsidRDefault="00000000">
      <w:pPr>
        <w:jc w:val="center"/>
        <w:outlineLvl w:val="0"/>
        <w:rPr>
          <w:rFonts w:ascii="黑体" w:eastAsia="黑体" w:hAnsi="黑体" w:hint="eastAsia"/>
          <w:sz w:val="32"/>
          <w:szCs w:val="32"/>
        </w:rPr>
      </w:pPr>
      <w:bookmarkStart w:id="0" w:name="_Toc32314"/>
      <w:bookmarkStart w:id="1" w:name="_Toc24028"/>
      <w:r>
        <w:rPr>
          <w:rFonts w:ascii="黑体" w:eastAsia="黑体" w:hAnsi="黑体" w:hint="eastAsia"/>
          <w:sz w:val="32"/>
          <w:szCs w:val="32"/>
        </w:rPr>
        <w:lastRenderedPageBreak/>
        <w:t>第一部分 单位概况</w:t>
      </w:r>
      <w:bookmarkEnd w:id="0"/>
      <w:bookmarkEnd w:id="1"/>
    </w:p>
    <w:p w14:paraId="55C3C596" w14:textId="77777777" w:rsidR="00BA7812" w:rsidRDefault="00000000">
      <w:pPr>
        <w:ind w:firstLineChars="200" w:firstLine="640"/>
        <w:outlineLvl w:val="1"/>
        <w:rPr>
          <w:rFonts w:ascii="黑体" w:eastAsia="黑体" w:hAnsi="黑体" w:cs="宋体" w:hint="eastAsia"/>
          <w:bCs/>
          <w:kern w:val="0"/>
          <w:sz w:val="32"/>
          <w:szCs w:val="32"/>
        </w:rPr>
      </w:pPr>
      <w:bookmarkStart w:id="2" w:name="_Toc30738"/>
      <w:bookmarkStart w:id="3" w:name="_Toc30567"/>
      <w:r>
        <w:rPr>
          <w:rFonts w:ascii="黑体" w:eastAsia="黑体" w:hAnsi="黑体" w:cs="宋体" w:hint="eastAsia"/>
          <w:bCs/>
          <w:kern w:val="0"/>
          <w:sz w:val="32"/>
          <w:szCs w:val="32"/>
        </w:rPr>
        <w:t>一、主要职能</w:t>
      </w:r>
      <w:bookmarkEnd w:id="2"/>
      <w:bookmarkEnd w:id="3"/>
    </w:p>
    <w:p w14:paraId="527FE7BA" w14:textId="77777777" w:rsidR="00BA7812" w:rsidRDefault="00000000">
      <w:pPr>
        <w:ind w:firstLineChars="200" w:firstLine="640"/>
        <w:jc w:val="left"/>
        <w:rPr>
          <w:rFonts w:ascii="仿宋_GB2312" w:eastAsia="仿宋_GB2312"/>
          <w:sz w:val="32"/>
          <w:szCs w:val="32"/>
        </w:rPr>
      </w:pPr>
      <w:r>
        <w:rPr>
          <w:rFonts w:ascii="仿宋_GB2312" w:eastAsia="仿宋_GB2312" w:hint="eastAsia"/>
          <w:sz w:val="32"/>
          <w:szCs w:val="32"/>
        </w:rPr>
        <w:t>（一）统一组织、规划、部署自治县直属机关党的工作，提出加强和改进机关党的建设的意见和建议，研究制定工作规划，并抓好组织实施。</w:t>
      </w:r>
    </w:p>
    <w:p w14:paraId="0FE9BB6A" w14:textId="77777777" w:rsidR="00BA7812" w:rsidRDefault="00000000">
      <w:pPr>
        <w:ind w:firstLineChars="200" w:firstLine="640"/>
        <w:jc w:val="left"/>
        <w:rPr>
          <w:rFonts w:ascii="仿宋_GB2312" w:eastAsia="仿宋_GB2312"/>
          <w:sz w:val="32"/>
          <w:szCs w:val="32"/>
        </w:rPr>
      </w:pPr>
      <w:r>
        <w:rPr>
          <w:rFonts w:ascii="仿宋_GB2312" w:eastAsia="仿宋_GB2312" w:hint="eastAsia"/>
          <w:sz w:val="32"/>
          <w:szCs w:val="32"/>
        </w:rPr>
        <w:t>（二）指导督促自治县直属机关党组（党委）认真履行机关党建主体责任。指导自治县直属机关党的政治建设、思想建设、组织建设、作风建设、纪律建设，把制度建设贯穿其中，深入推进反腐败斗争。</w:t>
      </w:r>
    </w:p>
    <w:p w14:paraId="14C79A1E" w14:textId="77777777" w:rsidR="00BA7812" w:rsidRDefault="00000000">
      <w:pPr>
        <w:ind w:firstLineChars="200" w:firstLine="640"/>
        <w:jc w:val="left"/>
        <w:rPr>
          <w:rFonts w:ascii="仿宋_GB2312" w:eastAsia="仿宋_GB2312"/>
          <w:sz w:val="32"/>
          <w:szCs w:val="32"/>
        </w:rPr>
      </w:pPr>
      <w:r>
        <w:rPr>
          <w:rFonts w:ascii="仿宋_GB2312" w:eastAsia="仿宋_GB2312" w:hint="eastAsia"/>
          <w:sz w:val="32"/>
          <w:szCs w:val="32"/>
        </w:rPr>
        <w:t>（三）指导自治县直属机关各级党组织和广大党员学习马克思列宁主义、毛泽东思想、邓小平理论、“三个代表”重要思想、科学发展观、习近平新时代中国特色社会主义思想。</w:t>
      </w:r>
    </w:p>
    <w:p w14:paraId="487024C0" w14:textId="77777777" w:rsidR="00BA7812" w:rsidRDefault="00000000">
      <w:pPr>
        <w:ind w:firstLineChars="200" w:firstLine="640"/>
        <w:jc w:val="left"/>
        <w:rPr>
          <w:rFonts w:ascii="仿宋_GB2312" w:eastAsia="仿宋_GB2312"/>
          <w:sz w:val="32"/>
          <w:szCs w:val="32"/>
        </w:rPr>
      </w:pPr>
      <w:r>
        <w:rPr>
          <w:rFonts w:ascii="仿宋_GB2312" w:eastAsia="仿宋_GB2312" w:hint="eastAsia"/>
          <w:sz w:val="32"/>
          <w:szCs w:val="32"/>
        </w:rPr>
        <w:t>（四）对自治县直属机关各级党组织、党员领导干部落实党建责任制、遵守政治纪律和政治规矩情况进行监督检查，并向自治县党委报告。</w:t>
      </w:r>
    </w:p>
    <w:p w14:paraId="113EA7E7" w14:textId="77777777" w:rsidR="00BA7812" w:rsidRDefault="00000000">
      <w:pPr>
        <w:ind w:firstLineChars="200" w:firstLine="640"/>
        <w:jc w:val="left"/>
        <w:rPr>
          <w:rFonts w:ascii="仿宋_GB2312" w:eastAsia="仿宋_GB2312"/>
          <w:sz w:val="32"/>
          <w:szCs w:val="32"/>
        </w:rPr>
      </w:pPr>
      <w:r>
        <w:rPr>
          <w:rFonts w:ascii="仿宋_GB2312" w:eastAsia="仿宋_GB2312" w:hint="eastAsia"/>
          <w:sz w:val="32"/>
          <w:szCs w:val="32"/>
        </w:rPr>
        <w:t>（五）指导自治县直属机关各级党组织实施对党员特别是党员领导干部的监督和管理，及时向自治县党委反映各部门领导班子、领导干部的情况。</w:t>
      </w:r>
    </w:p>
    <w:p w14:paraId="2BBC0DB4" w14:textId="77777777" w:rsidR="00BA7812" w:rsidRDefault="00000000">
      <w:pPr>
        <w:ind w:firstLineChars="200" w:firstLine="640"/>
        <w:jc w:val="left"/>
        <w:rPr>
          <w:rFonts w:ascii="仿宋_GB2312" w:eastAsia="仿宋_GB2312"/>
          <w:sz w:val="32"/>
          <w:szCs w:val="32"/>
        </w:rPr>
      </w:pPr>
      <w:r>
        <w:rPr>
          <w:rFonts w:ascii="仿宋_GB2312" w:eastAsia="仿宋_GB2312" w:hint="eastAsia"/>
          <w:sz w:val="32"/>
          <w:szCs w:val="32"/>
        </w:rPr>
        <w:t>（六）配合自治县有关部门做好自治县直属机关各部门领导班子思想政治建设，参与对党员领导干部民主生活会和党组（党委）理论学习、中心组学习的督促检查和指导，了</w:t>
      </w:r>
      <w:r>
        <w:rPr>
          <w:rFonts w:ascii="仿宋_GB2312" w:eastAsia="仿宋_GB2312" w:hint="eastAsia"/>
          <w:sz w:val="32"/>
          <w:szCs w:val="32"/>
        </w:rPr>
        <w:lastRenderedPageBreak/>
        <w:t>解掌握情况，按规定报送情况报告。</w:t>
      </w:r>
    </w:p>
    <w:p w14:paraId="6866827D" w14:textId="77777777" w:rsidR="00BA7812" w:rsidRDefault="00000000">
      <w:pPr>
        <w:ind w:firstLineChars="200" w:firstLine="640"/>
        <w:jc w:val="left"/>
        <w:rPr>
          <w:rFonts w:ascii="仿宋_GB2312" w:eastAsia="仿宋_GB2312"/>
          <w:sz w:val="32"/>
          <w:szCs w:val="32"/>
        </w:rPr>
      </w:pPr>
      <w:r>
        <w:rPr>
          <w:rFonts w:ascii="仿宋_GB2312" w:eastAsia="仿宋_GB2312" w:hint="eastAsia"/>
          <w:sz w:val="32"/>
          <w:szCs w:val="32"/>
        </w:rPr>
        <w:t>（七）审批自治县直属机关各部门机关党委、党总支和党支部的建立，督促指导自治县直属机关各部门机关党委、党总支和党支部按期换届，审批关于召开党员大会或党员代表大会的请示，审批自治县直属机关各部门党组织领导班子的任免。</w:t>
      </w:r>
    </w:p>
    <w:p w14:paraId="3FA8D5EB" w14:textId="77777777" w:rsidR="00BA7812" w:rsidRDefault="00000000">
      <w:pPr>
        <w:ind w:firstLineChars="200" w:firstLine="640"/>
        <w:jc w:val="left"/>
        <w:rPr>
          <w:rFonts w:ascii="仿宋_GB2312" w:eastAsia="仿宋_GB2312"/>
          <w:sz w:val="32"/>
          <w:szCs w:val="32"/>
        </w:rPr>
      </w:pPr>
      <w:r>
        <w:rPr>
          <w:rFonts w:ascii="仿宋_GB2312" w:eastAsia="仿宋_GB2312" w:hint="eastAsia"/>
          <w:sz w:val="32"/>
          <w:szCs w:val="32"/>
        </w:rPr>
        <w:t>（八）指导自治县直属机关各级党组织加强基层组织建设，做好党员发展、教育和管理等工作。</w:t>
      </w:r>
    </w:p>
    <w:p w14:paraId="4B237069" w14:textId="77777777" w:rsidR="00BA7812" w:rsidRDefault="00000000">
      <w:pPr>
        <w:ind w:firstLineChars="200" w:firstLine="640"/>
        <w:jc w:val="left"/>
        <w:rPr>
          <w:rFonts w:ascii="仿宋_GB2312" w:eastAsia="仿宋_GB2312"/>
          <w:sz w:val="32"/>
          <w:szCs w:val="32"/>
        </w:rPr>
      </w:pPr>
      <w:r>
        <w:rPr>
          <w:rFonts w:ascii="仿宋_GB2312" w:eastAsia="仿宋_GB2312" w:hint="eastAsia"/>
          <w:sz w:val="32"/>
          <w:szCs w:val="32"/>
        </w:rPr>
        <w:t>（九）了解掌握自治县直属机关工作人员的思想状况，指导自治县直属机关各级党组织加强思想政治工作和精神文明建设。</w:t>
      </w:r>
    </w:p>
    <w:p w14:paraId="299C5665" w14:textId="77777777" w:rsidR="00BA7812" w:rsidRDefault="00000000">
      <w:pPr>
        <w:ind w:firstLineChars="200" w:firstLine="640"/>
        <w:jc w:val="left"/>
        <w:rPr>
          <w:rFonts w:ascii="仿宋_GB2312" w:eastAsia="仿宋_GB2312"/>
          <w:sz w:val="32"/>
          <w:szCs w:val="32"/>
        </w:rPr>
      </w:pPr>
      <w:r>
        <w:rPr>
          <w:rFonts w:ascii="仿宋_GB2312" w:eastAsia="仿宋_GB2312" w:hint="eastAsia"/>
          <w:sz w:val="32"/>
          <w:szCs w:val="32"/>
        </w:rPr>
        <w:t>（十）领导自治县直属机关工会、共青团等群团组织的工作，指导自治县直属机关各级党组织做好党的群众工作。</w:t>
      </w:r>
    </w:p>
    <w:p w14:paraId="6DAB29E5" w14:textId="77777777" w:rsidR="00BA7812" w:rsidRDefault="00000000">
      <w:pPr>
        <w:ind w:firstLineChars="200" w:firstLine="640"/>
        <w:jc w:val="left"/>
        <w:rPr>
          <w:rFonts w:ascii="仿宋_GB2312" w:eastAsia="仿宋_GB2312"/>
          <w:sz w:val="32"/>
          <w:szCs w:val="32"/>
        </w:rPr>
      </w:pPr>
      <w:r>
        <w:rPr>
          <w:rFonts w:ascii="仿宋_GB2312" w:eastAsia="仿宋_GB2312" w:hint="eastAsia"/>
          <w:sz w:val="32"/>
          <w:szCs w:val="32"/>
        </w:rPr>
        <w:t>（十一）协同有关部门指导、规划、协调、监督、检查自治县直属机关党员干部教育培训工作，培训轮训自治县直属机关党员干部、党务干部及党员发展对象。</w:t>
      </w:r>
    </w:p>
    <w:p w14:paraId="5A7321CA" w14:textId="77777777" w:rsidR="00BA7812" w:rsidRDefault="00000000">
      <w:pPr>
        <w:ind w:firstLineChars="200" w:firstLine="640"/>
        <w:jc w:val="left"/>
        <w:rPr>
          <w:rFonts w:ascii="仿宋_GB2312" w:eastAsia="仿宋_GB2312"/>
          <w:sz w:val="32"/>
          <w:szCs w:val="32"/>
        </w:rPr>
      </w:pPr>
      <w:r>
        <w:rPr>
          <w:rFonts w:ascii="仿宋_GB2312" w:eastAsia="仿宋_GB2312" w:hint="eastAsia"/>
          <w:sz w:val="32"/>
          <w:szCs w:val="32"/>
        </w:rPr>
        <w:t>（十二）完成自治县党委交办的其他任务。</w:t>
      </w:r>
    </w:p>
    <w:p w14:paraId="0DE415EE" w14:textId="77777777" w:rsidR="00BA7812" w:rsidRDefault="00000000">
      <w:pPr>
        <w:ind w:firstLineChars="200" w:firstLine="640"/>
        <w:outlineLvl w:val="1"/>
        <w:rPr>
          <w:rFonts w:ascii="黑体" w:eastAsia="黑体" w:hAnsi="黑体" w:cs="宋体" w:hint="eastAsia"/>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022A133F" w14:textId="77777777" w:rsidR="00BA7812" w:rsidRDefault="00000000">
      <w:pPr>
        <w:ind w:firstLineChars="200" w:firstLine="640"/>
        <w:jc w:val="left"/>
        <w:rPr>
          <w:rFonts w:ascii="仿宋_GB2312" w:eastAsia="仿宋_GB2312" w:hAnsi="仿宋_GB2312" w:cs="仿宋_GB2312" w:hint="eastAsia"/>
          <w:b/>
          <w:sz w:val="32"/>
          <w:szCs w:val="32"/>
        </w:rPr>
      </w:pPr>
      <w:r>
        <w:rPr>
          <w:rFonts w:ascii="仿宋_GB2312" w:eastAsia="仿宋_GB2312" w:hint="eastAsia"/>
          <w:sz w:val="32"/>
          <w:szCs w:val="32"/>
        </w:rPr>
        <w:t>中共木垒哈萨克自治县直属机关工作委员会2023年度，实有人数</w:t>
      </w:r>
      <w:r>
        <w:rPr>
          <w:rFonts w:ascii="仿宋_GB2312" w:eastAsia="仿宋_GB2312" w:hint="eastAsia"/>
          <w:sz w:val="32"/>
          <w:szCs w:val="32"/>
          <w:lang w:val="zh-CN"/>
        </w:rPr>
        <w:t>8</w:t>
      </w:r>
      <w:r>
        <w:rPr>
          <w:rFonts w:ascii="仿宋_GB2312" w:eastAsia="仿宋_GB2312" w:hint="eastAsia"/>
          <w:sz w:val="32"/>
          <w:szCs w:val="32"/>
        </w:rPr>
        <w:t>人，其中：在职人员</w:t>
      </w:r>
      <w:r>
        <w:rPr>
          <w:rFonts w:ascii="仿宋_GB2312" w:eastAsia="仿宋_GB2312" w:hint="eastAsia"/>
          <w:sz w:val="32"/>
          <w:szCs w:val="32"/>
          <w:lang w:val="zh-CN"/>
        </w:rPr>
        <w:t>6</w:t>
      </w:r>
      <w:r>
        <w:rPr>
          <w:rFonts w:ascii="仿宋_GB2312" w:eastAsia="仿宋_GB2312" w:hint="eastAsia"/>
          <w:sz w:val="32"/>
          <w:szCs w:val="32"/>
        </w:rPr>
        <w:t>人，离休人员</w:t>
      </w:r>
      <w:r>
        <w:rPr>
          <w:rFonts w:ascii="仿宋_GB2312" w:eastAsia="仿宋_GB2312" w:hint="eastAsia"/>
          <w:sz w:val="32"/>
          <w:szCs w:val="32"/>
          <w:lang w:val="zh-CN"/>
        </w:rPr>
        <w:t>0</w:t>
      </w:r>
      <w:r>
        <w:rPr>
          <w:rFonts w:ascii="仿宋_GB2312" w:eastAsia="仿宋_GB2312" w:hint="eastAsia"/>
          <w:sz w:val="32"/>
          <w:szCs w:val="32"/>
        </w:rPr>
        <w:t>人，退休人员</w:t>
      </w:r>
      <w:r>
        <w:rPr>
          <w:rFonts w:ascii="仿宋_GB2312" w:eastAsia="仿宋_GB2312" w:hint="eastAsia"/>
          <w:sz w:val="32"/>
          <w:szCs w:val="32"/>
          <w:lang w:val="zh-CN"/>
        </w:rPr>
        <w:t>2</w:t>
      </w:r>
      <w:r>
        <w:rPr>
          <w:rFonts w:ascii="仿宋_GB2312" w:eastAsia="仿宋_GB2312" w:hint="eastAsia"/>
          <w:sz w:val="32"/>
          <w:szCs w:val="32"/>
        </w:rPr>
        <w:t>人。</w:t>
      </w:r>
    </w:p>
    <w:p w14:paraId="23310BD0" w14:textId="713FE15A" w:rsidR="00BA7812" w:rsidRDefault="00000000">
      <w:pPr>
        <w:ind w:firstLineChars="200" w:firstLine="640"/>
        <w:rPr>
          <w:rFonts w:ascii="仿宋_GB2312" w:eastAsia="仿宋_GB2312" w:hAnsi="宋体" w:cs="宋体" w:hint="eastAsia"/>
          <w:kern w:val="0"/>
          <w:sz w:val="32"/>
          <w:szCs w:val="32"/>
        </w:rPr>
        <w:sectPr w:rsidR="00BA7812">
          <w:footerReference w:type="default" r:id="rId8"/>
          <w:pgSz w:w="11906" w:h="16838"/>
          <w:pgMar w:top="1440" w:right="1800" w:bottom="1440" w:left="1800" w:header="851" w:footer="992" w:gutter="0"/>
          <w:cols w:space="720"/>
          <w:docGrid w:type="lines" w:linePitch="312"/>
        </w:sectPr>
      </w:pPr>
      <w:r>
        <w:rPr>
          <w:rFonts w:ascii="仿宋_GB2312" w:eastAsia="仿宋_GB2312" w:hAnsi="黑体" w:cs="宋体" w:hint="eastAsia"/>
          <w:bCs/>
          <w:kern w:val="0"/>
          <w:sz w:val="32"/>
          <w:szCs w:val="32"/>
        </w:rPr>
        <w:t>单位无下属预算单位，下设</w:t>
      </w:r>
      <w:r>
        <w:rPr>
          <w:rFonts w:ascii="仿宋_GB2312" w:eastAsia="仿宋_GB2312" w:hint="eastAsia"/>
          <w:sz w:val="32"/>
          <w:szCs w:val="32"/>
        </w:rPr>
        <w:t>1</w:t>
      </w:r>
      <w:r>
        <w:rPr>
          <w:rFonts w:ascii="仿宋_GB2312" w:eastAsia="仿宋_GB2312" w:hAnsi="黑体" w:cs="宋体" w:hint="eastAsia"/>
          <w:bCs/>
          <w:kern w:val="0"/>
          <w:sz w:val="32"/>
          <w:szCs w:val="32"/>
        </w:rPr>
        <w:t>个处室，分别是</w:t>
      </w:r>
      <w:r w:rsidR="0078238C">
        <w:rPr>
          <w:rFonts w:ascii="仿宋_GB2312" w:eastAsia="仿宋_GB2312" w:hAnsi="黑体" w:cs="宋体" w:hint="eastAsia"/>
          <w:bCs/>
          <w:kern w:val="0"/>
          <w:sz w:val="32"/>
          <w:szCs w:val="32"/>
        </w:rPr>
        <w:t>：</w:t>
      </w:r>
      <w:r>
        <w:rPr>
          <w:rFonts w:ascii="仿宋_GB2312" w:eastAsia="仿宋_GB2312" w:hAnsi="黑体" w:cs="宋体" w:hint="eastAsia"/>
          <w:bCs/>
          <w:kern w:val="0"/>
          <w:sz w:val="32"/>
          <w:szCs w:val="32"/>
        </w:rPr>
        <w:t>办公室</w:t>
      </w:r>
      <w:r>
        <w:rPr>
          <w:rFonts w:ascii="仿宋_GB2312" w:eastAsia="仿宋_GB2312" w:hAnsi="宋体" w:cs="宋体" w:hint="eastAsia"/>
          <w:kern w:val="0"/>
          <w:sz w:val="32"/>
          <w:szCs w:val="32"/>
        </w:rPr>
        <w:t>。</w:t>
      </w:r>
    </w:p>
    <w:p w14:paraId="2B9EFFAF" w14:textId="77777777" w:rsidR="00BA7812" w:rsidRDefault="00000000">
      <w:pPr>
        <w:jc w:val="center"/>
        <w:outlineLvl w:val="0"/>
        <w:rPr>
          <w:rFonts w:ascii="黑体" w:eastAsia="黑体" w:hAnsi="黑体" w:hint="eastAsia"/>
          <w:sz w:val="32"/>
          <w:szCs w:val="32"/>
        </w:rPr>
      </w:pPr>
      <w:bookmarkStart w:id="6" w:name="_Toc29374"/>
      <w:bookmarkStart w:id="7" w:name="_Toc3092"/>
      <w:r>
        <w:rPr>
          <w:rFonts w:ascii="黑体" w:eastAsia="黑体" w:hAnsi="黑体" w:hint="eastAsia"/>
          <w:sz w:val="32"/>
          <w:szCs w:val="32"/>
        </w:rPr>
        <w:lastRenderedPageBreak/>
        <w:t>第二部分 部门决算情况说明</w:t>
      </w:r>
      <w:bookmarkEnd w:id="6"/>
      <w:bookmarkEnd w:id="7"/>
    </w:p>
    <w:p w14:paraId="0DC3B43E" w14:textId="77777777" w:rsidR="00BA7812" w:rsidRDefault="00000000">
      <w:pPr>
        <w:ind w:firstLineChars="200" w:firstLine="640"/>
        <w:outlineLvl w:val="1"/>
        <w:rPr>
          <w:rFonts w:ascii="黑体" w:eastAsia="黑体" w:hAnsi="黑体" w:cs="宋体" w:hint="eastAsia"/>
          <w:bCs/>
          <w:kern w:val="0"/>
          <w:sz w:val="32"/>
          <w:szCs w:val="32"/>
        </w:rPr>
      </w:pPr>
      <w:bookmarkStart w:id="8" w:name="_Toc25314"/>
      <w:bookmarkStart w:id="9" w:name="_Toc12566"/>
      <w:r>
        <w:rPr>
          <w:rFonts w:ascii="黑体" w:eastAsia="黑体" w:hAnsi="黑体" w:cs="宋体" w:hint="eastAsia"/>
          <w:bCs/>
          <w:kern w:val="0"/>
          <w:sz w:val="32"/>
          <w:szCs w:val="32"/>
        </w:rPr>
        <w:t>一、收入支出决算总体情况说明</w:t>
      </w:r>
      <w:bookmarkEnd w:id="8"/>
      <w:bookmarkEnd w:id="9"/>
    </w:p>
    <w:p w14:paraId="27E675EF" w14:textId="77777777" w:rsidR="00BA7812"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2023年度收入总计117.94万元，其中：本年收入合计117.94万元，使用非财政拨款结余0.00万元，年初结转和结余0.00万元。</w:t>
      </w:r>
    </w:p>
    <w:p w14:paraId="4F470945" w14:textId="77777777" w:rsidR="00BA7812"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2023年度支出总计117.94万元，其中：本年支出合计117.94万元，结余分配0.00万元，年末结转和结余0.00万元。</w:t>
      </w:r>
    </w:p>
    <w:p w14:paraId="733B85CA" w14:textId="29362EE5" w:rsidR="00BA7812" w:rsidRDefault="00000000">
      <w:pPr>
        <w:ind w:firstLineChars="200" w:firstLine="640"/>
        <w:jc w:val="left"/>
        <w:rPr>
          <w:rFonts w:ascii="仿宋_GB2312" w:eastAsia="仿宋_GB2312"/>
          <w:sz w:val="32"/>
          <w:szCs w:val="32"/>
        </w:rPr>
      </w:pPr>
      <w:r>
        <w:rPr>
          <w:rFonts w:ascii="仿宋_GB2312" w:eastAsia="仿宋_GB2312" w:hint="eastAsia"/>
          <w:sz w:val="32"/>
          <w:szCs w:val="32"/>
        </w:rPr>
        <w:t>收入支出总体与上年相比，</w:t>
      </w:r>
      <w:r>
        <w:rPr>
          <w:rFonts w:ascii="仿宋_GB2312" w:eastAsia="仿宋_GB2312" w:hint="eastAsia"/>
          <w:sz w:val="32"/>
          <w:szCs w:val="32"/>
          <w:lang w:val="zh-CN"/>
        </w:rPr>
        <w:t>增加13.38万元</w:t>
      </w:r>
      <w:r>
        <w:rPr>
          <w:rFonts w:ascii="仿宋_GB2312" w:eastAsia="仿宋_GB2312" w:hint="eastAsia"/>
          <w:sz w:val="32"/>
          <w:szCs w:val="32"/>
        </w:rPr>
        <w:t>，增长12.</w:t>
      </w:r>
      <w:r w:rsidR="0007722A">
        <w:rPr>
          <w:rFonts w:ascii="仿宋_GB2312" w:eastAsia="仿宋_GB2312" w:hint="eastAsia"/>
          <w:sz w:val="32"/>
          <w:szCs w:val="32"/>
        </w:rPr>
        <w:t>80</w:t>
      </w:r>
      <w:r>
        <w:rPr>
          <w:rFonts w:ascii="仿宋_GB2312" w:eastAsia="仿宋_GB2312" w:hint="eastAsia"/>
          <w:sz w:val="32"/>
          <w:szCs w:val="32"/>
        </w:rPr>
        <w:t>%，主要原因是：</w:t>
      </w:r>
      <w:r>
        <w:rPr>
          <w:rFonts w:ascii="仿宋_GB2312" w:eastAsia="仿宋_GB2312" w:hint="eastAsia"/>
          <w:sz w:val="32"/>
          <w:szCs w:val="32"/>
          <w:lang w:val="zh-CN"/>
        </w:rPr>
        <w:t>单位社保基数调增，人员养老保险缴费增加</w:t>
      </w:r>
      <w:r>
        <w:rPr>
          <w:rFonts w:ascii="仿宋_GB2312" w:eastAsia="仿宋_GB2312" w:hint="eastAsia"/>
          <w:sz w:val="32"/>
          <w:szCs w:val="32"/>
        </w:rPr>
        <w:t>。</w:t>
      </w:r>
    </w:p>
    <w:p w14:paraId="4D887B89" w14:textId="77777777" w:rsidR="00BA7812" w:rsidRDefault="00000000">
      <w:pPr>
        <w:ind w:firstLineChars="200" w:firstLine="640"/>
        <w:jc w:val="left"/>
        <w:outlineLvl w:val="1"/>
        <w:rPr>
          <w:rFonts w:ascii="黑体" w:eastAsia="黑体" w:hAnsi="黑体" w:cs="宋体" w:hint="eastAsia"/>
          <w:bCs/>
          <w:kern w:val="0"/>
          <w:sz w:val="32"/>
          <w:szCs w:val="32"/>
        </w:rPr>
      </w:pPr>
      <w:bookmarkStart w:id="10" w:name="_Toc1979"/>
      <w:bookmarkStart w:id="11" w:name="_Toc12142"/>
      <w:r>
        <w:rPr>
          <w:rFonts w:ascii="黑体" w:eastAsia="黑体" w:hAnsi="黑体" w:cs="宋体" w:hint="eastAsia"/>
          <w:bCs/>
          <w:kern w:val="0"/>
          <w:sz w:val="32"/>
          <w:szCs w:val="32"/>
        </w:rPr>
        <w:t>二、收入决算情况说明</w:t>
      </w:r>
      <w:bookmarkEnd w:id="10"/>
      <w:bookmarkEnd w:id="11"/>
    </w:p>
    <w:p w14:paraId="07F81901" w14:textId="77777777" w:rsidR="00BA7812" w:rsidRDefault="00000000">
      <w:pPr>
        <w:ind w:firstLineChars="200" w:firstLine="640"/>
        <w:jc w:val="left"/>
        <w:rPr>
          <w:rFonts w:ascii="仿宋_GB2312" w:eastAsia="仿宋_GB2312"/>
          <w:sz w:val="32"/>
          <w:szCs w:val="32"/>
        </w:rPr>
      </w:pPr>
      <w:r>
        <w:rPr>
          <w:rFonts w:ascii="仿宋_GB2312" w:eastAsia="仿宋_GB2312" w:hint="eastAsia"/>
          <w:sz w:val="32"/>
          <w:szCs w:val="32"/>
        </w:rPr>
        <w:t>本年收入117.94万元，其中：财政拨款收入</w:t>
      </w:r>
      <w:r>
        <w:rPr>
          <w:rFonts w:ascii="仿宋_GB2312" w:eastAsia="仿宋_GB2312" w:hint="eastAsia"/>
          <w:sz w:val="32"/>
          <w:szCs w:val="32"/>
          <w:lang w:val="zh-CN"/>
        </w:rPr>
        <w:t>117.94</w:t>
      </w:r>
      <w:r>
        <w:rPr>
          <w:rFonts w:ascii="仿宋_GB2312" w:eastAsia="仿宋_GB2312" w:hint="eastAsia"/>
          <w:sz w:val="32"/>
          <w:szCs w:val="32"/>
        </w:rPr>
        <w:t>万元，占</w:t>
      </w:r>
      <w:r>
        <w:rPr>
          <w:rFonts w:ascii="仿宋_GB2312" w:eastAsia="仿宋_GB2312" w:hint="eastAsia"/>
          <w:sz w:val="32"/>
          <w:szCs w:val="32"/>
          <w:lang w:val="zh-CN"/>
        </w:rPr>
        <w:t>100.00</w:t>
      </w:r>
      <w:r>
        <w:rPr>
          <w:rFonts w:ascii="仿宋_GB2312" w:eastAsia="仿宋_GB2312" w:hint="eastAsia"/>
          <w:sz w:val="32"/>
          <w:szCs w:val="32"/>
        </w:rPr>
        <w:t>%；上级补助收入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%；事业收入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%；经营收入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%；附属单位上缴收入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%；其他收入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w:t>
      </w:r>
    </w:p>
    <w:p w14:paraId="53E3F3DC" w14:textId="77777777" w:rsidR="00BA7812" w:rsidRDefault="00000000">
      <w:pPr>
        <w:ind w:firstLineChars="200" w:firstLine="640"/>
        <w:jc w:val="left"/>
        <w:outlineLvl w:val="1"/>
        <w:rPr>
          <w:rFonts w:ascii="黑体" w:eastAsia="黑体" w:hAnsi="黑体" w:cs="宋体" w:hint="eastAsia"/>
          <w:bCs/>
          <w:kern w:val="0"/>
          <w:sz w:val="32"/>
          <w:szCs w:val="32"/>
        </w:rPr>
      </w:pPr>
      <w:bookmarkStart w:id="12" w:name="_Toc27961"/>
      <w:bookmarkStart w:id="13" w:name="_Toc13201"/>
      <w:r>
        <w:rPr>
          <w:rFonts w:ascii="黑体" w:eastAsia="黑体" w:hAnsi="黑体" w:cs="宋体" w:hint="eastAsia"/>
          <w:bCs/>
          <w:kern w:val="0"/>
          <w:sz w:val="32"/>
          <w:szCs w:val="32"/>
        </w:rPr>
        <w:t>三、支出决算情况说明</w:t>
      </w:r>
      <w:bookmarkEnd w:id="12"/>
      <w:bookmarkEnd w:id="13"/>
    </w:p>
    <w:p w14:paraId="6B0F171C" w14:textId="77777777" w:rsidR="00BA7812"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本年支出117.94万元，其中：基本支出117.94万元，占100.00%；项目支出0.00万元，占0.00%；上缴上级支出0.00万元，占0.00%；经营支出0.00万元，占0.00%；对附属单位补助支出0.00万元，占0.00%。</w:t>
      </w:r>
    </w:p>
    <w:p w14:paraId="3CF6855B" w14:textId="77777777" w:rsidR="00BA7812" w:rsidRDefault="00000000">
      <w:pPr>
        <w:ind w:firstLineChars="200" w:firstLine="640"/>
        <w:jc w:val="left"/>
        <w:outlineLvl w:val="1"/>
        <w:rPr>
          <w:rFonts w:ascii="黑体" w:eastAsia="黑体" w:hAnsi="黑体" w:cs="宋体" w:hint="eastAsia"/>
          <w:bCs/>
          <w:kern w:val="0"/>
          <w:sz w:val="32"/>
          <w:szCs w:val="32"/>
        </w:rPr>
      </w:pPr>
      <w:bookmarkStart w:id="14" w:name="_Toc26564"/>
      <w:bookmarkStart w:id="15" w:name="_Toc4393"/>
      <w:r>
        <w:rPr>
          <w:rFonts w:ascii="黑体" w:eastAsia="黑体" w:hAnsi="黑体" w:cs="宋体" w:hint="eastAsia"/>
          <w:bCs/>
          <w:kern w:val="0"/>
          <w:sz w:val="32"/>
          <w:szCs w:val="32"/>
        </w:rPr>
        <w:lastRenderedPageBreak/>
        <w:t>四、财政拨款收入支出决算总体情况说明</w:t>
      </w:r>
      <w:bookmarkEnd w:id="14"/>
      <w:bookmarkEnd w:id="15"/>
    </w:p>
    <w:p w14:paraId="5866DB62" w14:textId="77777777" w:rsidR="00BA7812"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2023年度财政拨款收入总计</w:t>
      </w:r>
      <w:r>
        <w:rPr>
          <w:rFonts w:ascii="仿宋_GB2312" w:eastAsia="仿宋_GB2312" w:hint="eastAsia"/>
          <w:sz w:val="32"/>
          <w:szCs w:val="32"/>
          <w:lang w:val="zh-CN"/>
        </w:rPr>
        <w:t>117.94</w:t>
      </w:r>
      <w:r>
        <w:rPr>
          <w:rFonts w:ascii="仿宋_GB2312" w:eastAsia="仿宋_GB2312" w:hint="eastAsia"/>
          <w:sz w:val="32"/>
          <w:szCs w:val="32"/>
        </w:rPr>
        <w:t>万元，其中：年初财政拨款结转和结余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万元，本年财政拨款收入</w:t>
      </w:r>
      <w:r>
        <w:rPr>
          <w:rFonts w:ascii="仿宋_GB2312" w:eastAsia="仿宋_GB2312" w:hint="eastAsia"/>
          <w:sz w:val="32"/>
          <w:szCs w:val="32"/>
          <w:lang w:val="zh-CN"/>
        </w:rPr>
        <w:t>117.94</w:t>
      </w:r>
      <w:r>
        <w:rPr>
          <w:rFonts w:ascii="仿宋_GB2312" w:eastAsia="仿宋_GB2312" w:hint="eastAsia"/>
          <w:sz w:val="32"/>
          <w:szCs w:val="32"/>
        </w:rPr>
        <w:t>万元。财政拨款支出总计</w:t>
      </w:r>
      <w:r>
        <w:rPr>
          <w:rFonts w:ascii="仿宋_GB2312" w:eastAsia="仿宋_GB2312" w:hint="eastAsia"/>
          <w:sz w:val="32"/>
          <w:szCs w:val="32"/>
          <w:lang w:val="zh-CN"/>
        </w:rPr>
        <w:t>117.94</w:t>
      </w:r>
      <w:r>
        <w:rPr>
          <w:rFonts w:ascii="仿宋_GB2312" w:eastAsia="仿宋_GB2312" w:hint="eastAsia"/>
          <w:sz w:val="32"/>
          <w:szCs w:val="32"/>
        </w:rPr>
        <w:t>万元，其中：年末财政拨款结转和结余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万元，本年财政拨款支出</w:t>
      </w:r>
      <w:r>
        <w:rPr>
          <w:rFonts w:ascii="仿宋_GB2312" w:eastAsia="仿宋_GB2312" w:hint="eastAsia"/>
          <w:sz w:val="32"/>
          <w:szCs w:val="32"/>
          <w:lang w:val="zh-CN"/>
        </w:rPr>
        <w:t>117.94</w:t>
      </w:r>
      <w:r>
        <w:rPr>
          <w:rFonts w:ascii="仿宋_GB2312" w:eastAsia="仿宋_GB2312" w:hint="eastAsia"/>
          <w:sz w:val="32"/>
          <w:szCs w:val="32"/>
        </w:rPr>
        <w:t>万元。</w:t>
      </w:r>
    </w:p>
    <w:p w14:paraId="7CFB2AF2" w14:textId="77777777" w:rsidR="00BA7812" w:rsidRDefault="00000000">
      <w:pPr>
        <w:ind w:firstLineChars="200" w:firstLine="640"/>
        <w:jc w:val="left"/>
        <w:rPr>
          <w:rFonts w:ascii="仿宋_GB2312" w:eastAsia="仿宋_GB2312"/>
          <w:sz w:val="32"/>
          <w:szCs w:val="32"/>
        </w:rPr>
      </w:pPr>
      <w:r>
        <w:rPr>
          <w:rFonts w:ascii="仿宋_GB2312" w:eastAsia="仿宋_GB2312" w:hint="eastAsia"/>
          <w:sz w:val="32"/>
          <w:szCs w:val="32"/>
        </w:rPr>
        <w:t>财政拨款收入支出总体与上年相比,</w:t>
      </w:r>
      <w:r>
        <w:rPr>
          <w:rFonts w:ascii="仿宋_GB2312" w:eastAsia="仿宋_GB2312" w:hint="eastAsia"/>
          <w:sz w:val="32"/>
          <w:szCs w:val="32"/>
          <w:lang w:val="zh-CN"/>
        </w:rPr>
        <w:t>增加13.38万元</w:t>
      </w:r>
      <w:r>
        <w:rPr>
          <w:rFonts w:ascii="仿宋_GB2312" w:eastAsia="仿宋_GB2312" w:hint="eastAsia"/>
          <w:sz w:val="32"/>
          <w:szCs w:val="32"/>
        </w:rPr>
        <w:t>，增长12.79%,主要原因是：</w:t>
      </w:r>
      <w:r>
        <w:rPr>
          <w:rFonts w:ascii="仿宋_GB2312" w:eastAsia="仿宋_GB2312" w:hint="eastAsia"/>
          <w:sz w:val="32"/>
          <w:szCs w:val="32"/>
          <w:lang w:val="zh-CN"/>
        </w:rPr>
        <w:t>单位社保基数调增，人员养老保险缴费增加</w:t>
      </w:r>
      <w:r>
        <w:rPr>
          <w:rFonts w:ascii="仿宋_GB2312" w:eastAsia="仿宋_GB2312" w:hint="eastAsia"/>
          <w:sz w:val="32"/>
          <w:szCs w:val="32"/>
        </w:rPr>
        <w:t>。与年初预算相比，年初预算数</w:t>
      </w:r>
      <w:r>
        <w:rPr>
          <w:rFonts w:ascii="仿宋_GB2312" w:eastAsia="仿宋_GB2312" w:hint="eastAsia"/>
          <w:sz w:val="32"/>
          <w:szCs w:val="32"/>
          <w:lang w:val="zh-CN"/>
        </w:rPr>
        <w:t>115.33</w:t>
      </w:r>
      <w:r>
        <w:rPr>
          <w:rFonts w:ascii="仿宋_GB2312" w:eastAsia="仿宋_GB2312" w:hint="eastAsia"/>
          <w:sz w:val="32"/>
          <w:szCs w:val="32"/>
        </w:rPr>
        <w:t>万元，决算数</w:t>
      </w:r>
      <w:r>
        <w:rPr>
          <w:rFonts w:ascii="仿宋_GB2312" w:eastAsia="仿宋_GB2312" w:hint="eastAsia"/>
          <w:sz w:val="32"/>
          <w:szCs w:val="32"/>
          <w:lang w:val="zh-CN"/>
        </w:rPr>
        <w:t>117.94</w:t>
      </w:r>
      <w:r>
        <w:rPr>
          <w:rFonts w:ascii="仿宋_GB2312" w:eastAsia="仿宋_GB2312" w:hint="eastAsia"/>
          <w:sz w:val="32"/>
          <w:szCs w:val="32"/>
        </w:rPr>
        <w:t>万元，预决算差异率2.26%，主要原因是：本年单位追加以前年度人员绩效奖金。</w:t>
      </w:r>
    </w:p>
    <w:p w14:paraId="4AAB78C7" w14:textId="77777777" w:rsidR="00BA7812" w:rsidRDefault="00000000">
      <w:pPr>
        <w:ind w:firstLineChars="200" w:firstLine="640"/>
        <w:jc w:val="left"/>
        <w:outlineLvl w:val="1"/>
        <w:rPr>
          <w:rFonts w:ascii="黑体" w:eastAsia="黑体" w:hAnsi="黑体" w:cs="宋体" w:hint="eastAsia"/>
          <w:bCs/>
          <w:kern w:val="0"/>
          <w:sz w:val="32"/>
          <w:szCs w:val="32"/>
        </w:rPr>
      </w:pPr>
      <w:bookmarkStart w:id="16" w:name="_Toc20360"/>
      <w:bookmarkStart w:id="17" w:name="_Toc13833"/>
      <w:r>
        <w:rPr>
          <w:rFonts w:ascii="黑体" w:eastAsia="黑体" w:hAnsi="黑体" w:cs="宋体" w:hint="eastAsia"/>
          <w:bCs/>
          <w:kern w:val="0"/>
          <w:sz w:val="32"/>
          <w:szCs w:val="32"/>
        </w:rPr>
        <w:t>五、一般公共预算财政拨款支出决算情况说明</w:t>
      </w:r>
      <w:bookmarkEnd w:id="16"/>
      <w:bookmarkEnd w:id="17"/>
    </w:p>
    <w:p w14:paraId="2F4555AB" w14:textId="77777777" w:rsidR="00BA7812"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14:paraId="11F43FC4" w14:textId="092F4026" w:rsidR="00BA7812" w:rsidRDefault="00000000">
      <w:pPr>
        <w:spacing w:line="600" w:lineRule="exact"/>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2023年度一般公共预算财政拨款支出117.94万元，占本年支出合计的</w:t>
      </w:r>
      <w:r>
        <w:rPr>
          <w:rFonts w:ascii="仿宋_GB2312" w:eastAsia="仿宋_GB2312" w:hint="eastAsia"/>
          <w:sz w:val="32"/>
          <w:szCs w:val="32"/>
          <w:lang w:val="zh-CN"/>
        </w:rPr>
        <w:t>100.00%</w:t>
      </w:r>
      <w:r>
        <w:rPr>
          <w:rFonts w:ascii="仿宋_GB2312" w:eastAsia="仿宋_GB2312" w:hint="eastAsia"/>
          <w:sz w:val="32"/>
          <w:szCs w:val="32"/>
        </w:rPr>
        <w:t>。与上年相比，</w:t>
      </w:r>
      <w:r>
        <w:rPr>
          <w:rFonts w:ascii="仿宋_GB2312" w:eastAsia="仿宋_GB2312" w:hint="eastAsia"/>
          <w:sz w:val="32"/>
          <w:szCs w:val="32"/>
          <w:lang w:val="zh-CN"/>
        </w:rPr>
        <w:t>增加13.38万元</w:t>
      </w:r>
      <w:r>
        <w:rPr>
          <w:rFonts w:ascii="仿宋_GB2312" w:eastAsia="仿宋_GB2312" w:hint="eastAsia"/>
          <w:sz w:val="32"/>
          <w:szCs w:val="32"/>
        </w:rPr>
        <w:t>，增长12.</w:t>
      </w:r>
      <w:r w:rsidR="0007722A">
        <w:rPr>
          <w:rFonts w:ascii="仿宋_GB2312" w:eastAsia="仿宋_GB2312" w:hint="eastAsia"/>
          <w:sz w:val="32"/>
          <w:szCs w:val="32"/>
        </w:rPr>
        <w:t>80</w:t>
      </w:r>
      <w:r>
        <w:rPr>
          <w:rFonts w:ascii="仿宋_GB2312" w:eastAsia="仿宋_GB2312" w:hint="eastAsia"/>
          <w:sz w:val="32"/>
          <w:szCs w:val="32"/>
        </w:rPr>
        <w:t>%,主要原因是：</w:t>
      </w:r>
      <w:r>
        <w:rPr>
          <w:rFonts w:ascii="仿宋_GB2312" w:eastAsia="仿宋_GB2312" w:hint="eastAsia"/>
          <w:sz w:val="32"/>
          <w:szCs w:val="32"/>
          <w:lang w:val="zh-CN"/>
        </w:rPr>
        <w:t>单位社保基数调增，人员养老保险缴费增加</w:t>
      </w:r>
      <w:r>
        <w:rPr>
          <w:rFonts w:ascii="仿宋_GB2312" w:eastAsia="仿宋_GB2312" w:hint="eastAsia"/>
          <w:sz w:val="32"/>
          <w:szCs w:val="32"/>
        </w:rPr>
        <w:t>。与年初预算相比，年初预算数</w:t>
      </w:r>
      <w:r>
        <w:rPr>
          <w:rFonts w:ascii="仿宋_GB2312" w:eastAsia="仿宋_GB2312" w:hint="eastAsia"/>
          <w:sz w:val="32"/>
          <w:szCs w:val="32"/>
          <w:lang w:val="zh-CN"/>
        </w:rPr>
        <w:t>115.33</w:t>
      </w:r>
      <w:r>
        <w:rPr>
          <w:rFonts w:ascii="仿宋_GB2312" w:eastAsia="仿宋_GB2312" w:hint="eastAsia"/>
          <w:sz w:val="32"/>
          <w:szCs w:val="32"/>
        </w:rPr>
        <w:t>万元，决算数</w:t>
      </w:r>
      <w:r>
        <w:rPr>
          <w:rFonts w:ascii="仿宋_GB2312" w:eastAsia="仿宋_GB2312" w:hint="eastAsia"/>
          <w:sz w:val="32"/>
          <w:szCs w:val="32"/>
          <w:lang w:val="zh-CN"/>
        </w:rPr>
        <w:t>117.94</w:t>
      </w:r>
      <w:r>
        <w:rPr>
          <w:rFonts w:ascii="仿宋_GB2312" w:eastAsia="仿宋_GB2312" w:hint="eastAsia"/>
          <w:sz w:val="32"/>
          <w:szCs w:val="32"/>
        </w:rPr>
        <w:t>万元，预决算差异率</w:t>
      </w:r>
      <w:r>
        <w:rPr>
          <w:rFonts w:ascii="仿宋_GB2312" w:eastAsia="仿宋_GB2312" w:hint="eastAsia"/>
          <w:sz w:val="32"/>
          <w:szCs w:val="32"/>
          <w:lang w:val="zh-CN"/>
        </w:rPr>
        <w:t>2.26%</w:t>
      </w:r>
      <w:r>
        <w:rPr>
          <w:rFonts w:ascii="仿宋_GB2312" w:eastAsia="仿宋_GB2312" w:hint="eastAsia"/>
          <w:sz w:val="32"/>
          <w:szCs w:val="32"/>
        </w:rPr>
        <w:t>，主要原因是：本年单位追加以前年度人员绩效奖金。</w:t>
      </w:r>
    </w:p>
    <w:p w14:paraId="623EEFFC" w14:textId="77777777" w:rsidR="00BA7812" w:rsidRDefault="00000000">
      <w:pPr>
        <w:numPr>
          <w:ilvl w:val="0"/>
          <w:numId w:val="1"/>
        </w:num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一般公共预算财政拨款支出决算结构情况</w:t>
      </w:r>
    </w:p>
    <w:p w14:paraId="23896FB7" w14:textId="77777777" w:rsidR="00BA7812"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kern w:val="2"/>
          <w:sz w:val="32"/>
          <w:szCs w:val="32"/>
          <w:lang w:val="zh-CN"/>
        </w:rPr>
        <w:t>1.一般公共服务支出（类）</w:t>
      </w:r>
      <w:r>
        <w:rPr>
          <w:rFonts w:ascii="仿宋_GB2312" w:eastAsia="仿宋_GB2312" w:hint="eastAsia"/>
          <w:kern w:val="2"/>
          <w:sz w:val="32"/>
          <w:szCs w:val="32"/>
          <w:lang w:val="zh-CN"/>
        </w:rPr>
        <w:t>97.99</w:t>
      </w:r>
      <w:r>
        <w:rPr>
          <w:rFonts w:ascii="仿宋_GB2312" w:eastAsia="仿宋_GB2312"/>
          <w:kern w:val="2"/>
          <w:sz w:val="32"/>
          <w:szCs w:val="32"/>
          <w:lang w:val="zh-CN"/>
        </w:rPr>
        <w:t>万元，占</w:t>
      </w:r>
      <w:r>
        <w:rPr>
          <w:rFonts w:ascii="仿宋_GB2312" w:eastAsia="仿宋_GB2312" w:hint="eastAsia"/>
          <w:kern w:val="2"/>
          <w:sz w:val="32"/>
          <w:szCs w:val="32"/>
          <w:lang w:val="zh-CN"/>
        </w:rPr>
        <w:t>83.08</w:t>
      </w:r>
      <w:r>
        <w:rPr>
          <w:rFonts w:ascii="仿宋_GB2312" w:eastAsia="仿宋_GB2312"/>
          <w:kern w:val="2"/>
          <w:sz w:val="32"/>
          <w:szCs w:val="32"/>
          <w:lang w:val="zh-CN"/>
        </w:rPr>
        <w:t>%；</w:t>
      </w:r>
    </w:p>
    <w:p w14:paraId="6A8F78CC" w14:textId="77777777" w:rsidR="00BA7812"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2</w:t>
      </w:r>
      <w:r>
        <w:rPr>
          <w:rFonts w:ascii="仿宋_GB2312" w:eastAsia="仿宋_GB2312"/>
          <w:kern w:val="2"/>
          <w:sz w:val="32"/>
          <w:szCs w:val="32"/>
          <w:lang w:val="zh-CN"/>
        </w:rPr>
        <w:t>.社会保障和就业支出（类）</w:t>
      </w:r>
      <w:r>
        <w:rPr>
          <w:rFonts w:ascii="仿宋_GB2312" w:eastAsia="仿宋_GB2312" w:hint="eastAsia"/>
          <w:kern w:val="2"/>
          <w:sz w:val="32"/>
          <w:szCs w:val="32"/>
          <w:lang w:val="zh-CN"/>
        </w:rPr>
        <w:t>11.45</w:t>
      </w:r>
      <w:r>
        <w:rPr>
          <w:rFonts w:ascii="仿宋_GB2312" w:eastAsia="仿宋_GB2312"/>
          <w:kern w:val="2"/>
          <w:sz w:val="32"/>
          <w:szCs w:val="32"/>
          <w:lang w:val="zh-CN"/>
        </w:rPr>
        <w:t>万元，占</w:t>
      </w:r>
      <w:r>
        <w:rPr>
          <w:rFonts w:ascii="仿宋_GB2312" w:eastAsia="仿宋_GB2312" w:hint="eastAsia"/>
          <w:kern w:val="2"/>
          <w:sz w:val="32"/>
          <w:szCs w:val="32"/>
          <w:lang w:val="zh-CN"/>
        </w:rPr>
        <w:t>9.71</w:t>
      </w:r>
      <w:r>
        <w:rPr>
          <w:rFonts w:ascii="仿宋_GB2312" w:eastAsia="仿宋_GB2312"/>
          <w:kern w:val="2"/>
          <w:sz w:val="32"/>
          <w:szCs w:val="32"/>
          <w:lang w:val="zh-CN"/>
        </w:rPr>
        <w:t>%；</w:t>
      </w:r>
    </w:p>
    <w:p w14:paraId="1D1A2897" w14:textId="77777777" w:rsidR="00BA7812"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3</w:t>
      </w:r>
      <w:r>
        <w:rPr>
          <w:rFonts w:ascii="仿宋_GB2312" w:eastAsia="仿宋_GB2312"/>
          <w:kern w:val="2"/>
          <w:sz w:val="32"/>
          <w:szCs w:val="32"/>
          <w:lang w:val="zh-CN"/>
        </w:rPr>
        <w:t>.住房保障支出（类）</w:t>
      </w:r>
      <w:r>
        <w:rPr>
          <w:rFonts w:ascii="仿宋_GB2312" w:eastAsia="仿宋_GB2312" w:hint="eastAsia"/>
          <w:kern w:val="2"/>
          <w:sz w:val="32"/>
          <w:szCs w:val="32"/>
          <w:lang w:val="zh-CN"/>
        </w:rPr>
        <w:t>8.50</w:t>
      </w:r>
      <w:r>
        <w:rPr>
          <w:rFonts w:ascii="仿宋_GB2312" w:eastAsia="仿宋_GB2312"/>
          <w:kern w:val="2"/>
          <w:sz w:val="32"/>
          <w:szCs w:val="32"/>
          <w:lang w:val="zh-CN"/>
        </w:rPr>
        <w:t>万元，占</w:t>
      </w:r>
      <w:r>
        <w:rPr>
          <w:rFonts w:ascii="仿宋_GB2312" w:eastAsia="仿宋_GB2312" w:hint="eastAsia"/>
          <w:kern w:val="2"/>
          <w:sz w:val="32"/>
          <w:szCs w:val="32"/>
          <w:lang w:val="zh-CN"/>
        </w:rPr>
        <w:t>7.21</w:t>
      </w:r>
      <w:r>
        <w:rPr>
          <w:rFonts w:ascii="仿宋_GB2312" w:eastAsia="仿宋_GB2312"/>
          <w:kern w:val="2"/>
          <w:sz w:val="32"/>
          <w:szCs w:val="32"/>
          <w:lang w:val="zh-CN"/>
        </w:rPr>
        <w:t>%</w:t>
      </w:r>
      <w:r>
        <w:rPr>
          <w:rFonts w:ascii="仿宋_GB2312" w:eastAsia="仿宋_GB2312" w:hint="eastAsia"/>
          <w:kern w:val="2"/>
          <w:sz w:val="32"/>
          <w:szCs w:val="32"/>
          <w:lang w:val="zh-CN"/>
        </w:rPr>
        <w:t>。</w:t>
      </w:r>
    </w:p>
    <w:p w14:paraId="0F93F3B6" w14:textId="77777777" w:rsidR="00BA7812"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lastRenderedPageBreak/>
        <w:t>（三）一般公共预算财政拨款支出决算具体情况</w:t>
      </w:r>
    </w:p>
    <w:p w14:paraId="39F95234" w14:textId="05058E30" w:rsidR="00BA7812"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1.住房保障支出（类）住房改革支出（款）住房公积金（项）:支出决算数为8.50万元，比上年决算增加0.56万元，增长7.09%，主要原因是：本年单位</w:t>
      </w:r>
      <w:r w:rsidR="003A2F91">
        <w:rPr>
          <w:rFonts w:ascii="仿宋_GB2312" w:eastAsia="仿宋_GB2312" w:hint="eastAsia"/>
          <w:kern w:val="2"/>
          <w:sz w:val="32"/>
          <w:szCs w:val="32"/>
          <w:lang w:val="zh-CN"/>
        </w:rPr>
        <w:t>公积金缴费基数</w:t>
      </w:r>
      <w:r>
        <w:rPr>
          <w:rFonts w:ascii="仿宋_GB2312" w:eastAsia="仿宋_GB2312" w:hint="eastAsia"/>
          <w:kern w:val="2"/>
          <w:sz w:val="32"/>
          <w:szCs w:val="32"/>
          <w:lang w:val="zh-CN"/>
        </w:rPr>
        <w:t>调增，</w:t>
      </w:r>
      <w:r w:rsidR="003A2F91">
        <w:rPr>
          <w:rFonts w:ascii="仿宋_GB2312" w:eastAsia="仿宋_GB2312" w:hint="eastAsia"/>
          <w:kern w:val="2"/>
          <w:sz w:val="32"/>
          <w:szCs w:val="32"/>
          <w:lang w:val="zh-CN"/>
        </w:rPr>
        <w:t>相应</w:t>
      </w:r>
      <w:r>
        <w:rPr>
          <w:rFonts w:ascii="仿宋_GB2312" w:eastAsia="仿宋_GB2312" w:hint="eastAsia"/>
          <w:kern w:val="2"/>
          <w:sz w:val="32"/>
          <w:szCs w:val="32"/>
          <w:lang w:val="zh-CN"/>
        </w:rPr>
        <w:t>公积金缴费增加。</w:t>
      </w:r>
    </w:p>
    <w:p w14:paraId="2CD35A80" w14:textId="77777777" w:rsidR="00BA7812"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2.一般公共服务支出（类）党委办公厅（室）及相关机构事务（款）行政运行（项）:支出决算数为94.99万元，比上年决算增加8.63万元，增长9.99%，主要原因是：本年单位补缴以前年度人员绩效奖金。</w:t>
      </w:r>
    </w:p>
    <w:p w14:paraId="4343B086" w14:textId="77777777" w:rsidR="00BA7812"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3.一般公共服务支出（类）组织事务（款）其他组织事务支出（项）:支出决算数为3.00万元，比上年决算增加3.00万元，增长100%，主要原因是：上年度该经费在主款核算，未单独设立款项，本年度根据预算细化要求明细列支。</w:t>
      </w:r>
    </w:p>
    <w:p w14:paraId="16D7DE39" w14:textId="77777777" w:rsidR="00BA7812"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4.社会保障和就业支出（类）行政事业单位养老支出（款）行政单位离退休（项）:支出决算数为0.69万元，比上年决算增加0.44万元，增长178.23%，主要原因是：单位本年公务员</w:t>
      </w:r>
      <w:proofErr w:type="gramStart"/>
      <w:r>
        <w:rPr>
          <w:rFonts w:ascii="仿宋_GB2312" w:eastAsia="仿宋_GB2312" w:hint="eastAsia"/>
          <w:kern w:val="2"/>
          <w:sz w:val="32"/>
          <w:szCs w:val="32"/>
          <w:lang w:val="zh-CN"/>
        </w:rPr>
        <w:t>绩效奖资金</w:t>
      </w:r>
      <w:proofErr w:type="gramEnd"/>
      <w:r>
        <w:rPr>
          <w:rFonts w:ascii="仿宋_GB2312" w:eastAsia="仿宋_GB2312" w:hint="eastAsia"/>
          <w:kern w:val="2"/>
          <w:sz w:val="32"/>
          <w:szCs w:val="32"/>
          <w:lang w:val="zh-CN"/>
        </w:rPr>
        <w:t>增加。</w:t>
      </w:r>
    </w:p>
    <w:p w14:paraId="7274E681" w14:textId="77777777" w:rsidR="00BA7812"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5.社会保障和就业支出（类）行政事业单位养老支出（款）机关事业单位基本养老保险缴费支出（项）:支出决算数为10.76万元，比上年决算增加0.75万元，增长7.46%，主要原因是：单位社保基数调增，人员养老保险缴费增加。</w:t>
      </w:r>
    </w:p>
    <w:p w14:paraId="09BBCCBE" w14:textId="77777777" w:rsidR="00BA7812"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六、一般公共预算财政拨款基本支出决算情况说明</w:t>
      </w:r>
    </w:p>
    <w:p w14:paraId="04AA3B77" w14:textId="77777777" w:rsidR="00BA7812" w:rsidRDefault="00000000">
      <w:pPr>
        <w:ind w:firstLineChars="200" w:firstLine="640"/>
        <w:jc w:val="left"/>
        <w:rPr>
          <w:rFonts w:ascii="仿宋_GB2312" w:eastAsia="仿宋_GB2312"/>
          <w:sz w:val="32"/>
          <w:szCs w:val="32"/>
        </w:rPr>
      </w:pPr>
      <w:r>
        <w:rPr>
          <w:rFonts w:ascii="仿宋_GB2312" w:eastAsia="仿宋_GB2312" w:hint="eastAsia"/>
          <w:sz w:val="32"/>
          <w:szCs w:val="32"/>
        </w:rPr>
        <w:lastRenderedPageBreak/>
        <w:t>2023年度一般公共预算财政拨款基本支出117.94万元，其中：人员经费111.93万元，包括：基本工资、津贴补贴、奖金、机关事业单位基本养老保险缴费、职工基本医疗保险缴费、公务员医疗补助缴费、其他社会保障缴费、住房公积金、退休费、奖励金、其他对个人和家庭的补助。</w:t>
      </w:r>
    </w:p>
    <w:p w14:paraId="11B7FEAD" w14:textId="77777777" w:rsidR="00BA7812" w:rsidRDefault="00000000">
      <w:pPr>
        <w:ind w:firstLineChars="200" w:firstLine="640"/>
        <w:jc w:val="left"/>
        <w:rPr>
          <w:rFonts w:ascii="仿宋_GB2312" w:eastAsia="仿宋_GB2312" w:hAnsi="宋体" w:cs="宋体" w:hint="eastAsia"/>
          <w:kern w:val="0"/>
          <w:sz w:val="32"/>
          <w:szCs w:val="32"/>
        </w:rPr>
      </w:pPr>
      <w:r>
        <w:rPr>
          <w:rFonts w:ascii="仿宋_GB2312" w:eastAsia="仿宋_GB2312" w:hint="eastAsia"/>
          <w:sz w:val="32"/>
          <w:szCs w:val="32"/>
        </w:rPr>
        <w:t>公用经费6.00万元，包括：办公费、水费、电费、邮电费、取暖费、维修（护）费、工会经费、公务用车运行维护费。</w:t>
      </w:r>
    </w:p>
    <w:p w14:paraId="5AB20066" w14:textId="77777777" w:rsidR="00BA7812"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七、财政拨款“三公”经费支出决算情况说明</w:t>
      </w:r>
    </w:p>
    <w:p w14:paraId="79C622D1" w14:textId="50A247FD" w:rsidR="00BA7812"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2023年度</w:t>
      </w:r>
      <w:r>
        <w:rPr>
          <w:rFonts w:ascii="仿宋_GB2312" w:eastAsia="仿宋_GB2312" w:hint="eastAsia"/>
          <w:sz w:val="32"/>
          <w:szCs w:val="32"/>
        </w:rPr>
        <w:t>财政拨款</w:t>
      </w:r>
      <w:r>
        <w:rPr>
          <w:rFonts w:ascii="仿宋_GB2312" w:eastAsia="仿宋_GB2312" w:hint="eastAsia"/>
          <w:sz w:val="32"/>
          <w:szCs w:val="32"/>
          <w:lang w:val="zh-CN"/>
        </w:rPr>
        <w:t>“三公”经费支出0.27万元，</w:t>
      </w:r>
      <w:r>
        <w:rPr>
          <w:rFonts w:ascii="仿宋_GB2312" w:eastAsia="仿宋_GB2312" w:hint="eastAsia"/>
          <w:sz w:val="32"/>
          <w:szCs w:val="32"/>
        </w:rPr>
        <w:t>比上年</w:t>
      </w:r>
      <w:r>
        <w:rPr>
          <w:rFonts w:ascii="仿宋_GB2312" w:eastAsia="仿宋_GB2312" w:hint="eastAsia"/>
          <w:sz w:val="32"/>
          <w:szCs w:val="32"/>
          <w:lang w:val="zh-CN"/>
        </w:rPr>
        <w:t>减少0.00万元，</w:t>
      </w:r>
      <w:r>
        <w:rPr>
          <w:rFonts w:ascii="仿宋_GB2312" w:eastAsia="仿宋_GB2312" w:hint="eastAsia"/>
          <w:sz w:val="32"/>
          <w:szCs w:val="32"/>
        </w:rPr>
        <w:t>下降</w:t>
      </w:r>
      <w:r w:rsidR="0007722A">
        <w:rPr>
          <w:rFonts w:ascii="仿宋_GB2312" w:eastAsia="仿宋_GB2312" w:hint="eastAsia"/>
          <w:sz w:val="32"/>
          <w:szCs w:val="32"/>
        </w:rPr>
        <w:t>0.00</w:t>
      </w:r>
      <w:r>
        <w:rPr>
          <w:rFonts w:ascii="仿宋_GB2312" w:eastAsia="仿宋_GB2312" w:hint="eastAsia"/>
          <w:sz w:val="32"/>
          <w:szCs w:val="32"/>
        </w:rPr>
        <w:t>%,</w:t>
      </w:r>
      <w:r>
        <w:rPr>
          <w:rFonts w:ascii="仿宋_GB2312" w:eastAsia="仿宋_GB2312" w:hint="eastAsia"/>
          <w:sz w:val="32"/>
          <w:szCs w:val="32"/>
          <w:lang w:val="zh-CN"/>
        </w:rPr>
        <w:t>主要原因是：绿色出行，车辆维护维修费，燃油费等减少。其中：因公出国（境）费支出0.00万元，占0.00%，比上年增加0.00万元，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主要原因是：单位本年无此项经费；公务用车购置及运行维护费支出0.27万元，占100.00%，比上年减少0.00万元，</w:t>
      </w:r>
      <w:r>
        <w:rPr>
          <w:rFonts w:ascii="仿宋_GB2312" w:eastAsia="仿宋_GB2312" w:hint="eastAsia"/>
          <w:sz w:val="32"/>
          <w:szCs w:val="32"/>
        </w:rPr>
        <w:t>下降</w:t>
      </w:r>
      <w:r w:rsidR="0007722A">
        <w:rPr>
          <w:rFonts w:ascii="仿宋_GB2312" w:eastAsia="仿宋_GB2312" w:hint="eastAsia"/>
          <w:sz w:val="32"/>
          <w:szCs w:val="32"/>
        </w:rPr>
        <w:t>0.00</w:t>
      </w:r>
      <w:r>
        <w:rPr>
          <w:rFonts w:ascii="仿宋_GB2312" w:eastAsia="仿宋_GB2312" w:hint="eastAsia"/>
          <w:sz w:val="32"/>
          <w:szCs w:val="32"/>
        </w:rPr>
        <w:t>%,</w:t>
      </w:r>
      <w:r>
        <w:rPr>
          <w:rFonts w:ascii="仿宋_GB2312" w:eastAsia="仿宋_GB2312" w:hint="eastAsia"/>
          <w:sz w:val="32"/>
          <w:szCs w:val="32"/>
          <w:lang w:val="zh-CN"/>
        </w:rPr>
        <w:t>主要原因是：绿色出行，车辆维护维修费，燃油费等减少；公务接待费支出0.00万元，占0.00%，比上年增加0.00万元，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主要原因是：单位本年无此项经费。</w:t>
      </w:r>
    </w:p>
    <w:p w14:paraId="41329CFE" w14:textId="77777777" w:rsidR="00BA7812"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具体情况如下：</w:t>
      </w:r>
    </w:p>
    <w:p w14:paraId="4DBD99DC" w14:textId="77777777" w:rsidR="00BA7812"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因公出国（境）费支出0.00万元，开支内容包括单位本年无此项经费。单位全年安排的因公出国（境）团组0个，</w:t>
      </w:r>
      <w:r>
        <w:rPr>
          <w:rFonts w:ascii="仿宋_GB2312" w:eastAsia="仿宋_GB2312" w:hint="eastAsia"/>
          <w:sz w:val="32"/>
          <w:szCs w:val="32"/>
          <w:lang w:val="zh-CN"/>
        </w:rPr>
        <w:lastRenderedPageBreak/>
        <w:t>因公出国（境）0人次。</w:t>
      </w:r>
    </w:p>
    <w:p w14:paraId="7DC461BD" w14:textId="77777777" w:rsidR="00BA7812" w:rsidRDefault="00000000">
      <w:pPr>
        <w:ind w:firstLineChars="200" w:firstLine="640"/>
        <w:jc w:val="left"/>
        <w:rPr>
          <w:rFonts w:ascii="仿宋_GB2312" w:eastAsia="仿宋_GB2312"/>
          <w:sz w:val="32"/>
          <w:szCs w:val="32"/>
        </w:rPr>
      </w:pPr>
      <w:r>
        <w:rPr>
          <w:rFonts w:ascii="仿宋_GB2312" w:eastAsia="仿宋_GB2312" w:hint="eastAsia"/>
          <w:sz w:val="32"/>
          <w:szCs w:val="32"/>
          <w:lang w:val="zh-CN"/>
        </w:rPr>
        <w:t>公务用车购置及运行维护费0.27万元，其中：公务用车购置费0.00万元，公务用车运行维护费0.27万元。公务用车运行维护费开支内容包括公务用车燃油费、车辆维修维护费、保险费、过路费等。公务用车购置数0辆，公务用车保有量1辆。国有资产占用情况</w:t>
      </w:r>
      <w:r>
        <w:rPr>
          <w:rFonts w:ascii="仿宋_GB2312" w:eastAsia="仿宋_GB2312" w:hint="eastAsia"/>
          <w:sz w:val="32"/>
          <w:szCs w:val="32"/>
        </w:rPr>
        <w:t>中固定资产车辆</w:t>
      </w:r>
      <w:r>
        <w:rPr>
          <w:rFonts w:ascii="仿宋_GB2312" w:eastAsia="仿宋_GB2312" w:hint="eastAsia"/>
          <w:sz w:val="32"/>
          <w:szCs w:val="32"/>
          <w:lang w:val="zh-CN"/>
        </w:rPr>
        <w:t>1辆，</w:t>
      </w:r>
      <w:r>
        <w:rPr>
          <w:rFonts w:ascii="仿宋_GB2312" w:eastAsia="仿宋_GB2312" w:hint="eastAsia"/>
          <w:sz w:val="32"/>
          <w:szCs w:val="32"/>
        </w:rPr>
        <w:t>与</w:t>
      </w:r>
      <w:r>
        <w:rPr>
          <w:rFonts w:ascii="仿宋_GB2312" w:eastAsia="仿宋_GB2312" w:hint="eastAsia"/>
          <w:sz w:val="32"/>
          <w:szCs w:val="32"/>
          <w:lang w:val="zh-CN"/>
        </w:rPr>
        <w:t>公务用车</w:t>
      </w:r>
      <w:r>
        <w:rPr>
          <w:rFonts w:ascii="仿宋_GB2312" w:eastAsia="仿宋_GB2312" w:hint="eastAsia"/>
          <w:sz w:val="32"/>
          <w:szCs w:val="32"/>
        </w:rPr>
        <w:t>保有量差异</w:t>
      </w:r>
      <w:r>
        <w:rPr>
          <w:rFonts w:ascii="仿宋_GB2312" w:eastAsia="仿宋_GB2312" w:hint="eastAsia"/>
          <w:sz w:val="32"/>
          <w:szCs w:val="32"/>
          <w:lang w:val="zh-CN"/>
        </w:rPr>
        <w:t>原因是：对比无差异。</w:t>
      </w:r>
    </w:p>
    <w:p w14:paraId="71E6812C" w14:textId="77777777" w:rsidR="00BA7812"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公务接待费0.00万元，开支内容包括单位本年无此项经费。单位全年安排的国内公务接待0批次，0人次。</w:t>
      </w:r>
    </w:p>
    <w:p w14:paraId="32F67C62" w14:textId="77777777" w:rsidR="00BA7812"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与</w:t>
      </w:r>
      <w:r>
        <w:rPr>
          <w:rFonts w:ascii="仿宋_GB2312" w:eastAsia="仿宋_GB2312" w:hint="eastAsia"/>
          <w:sz w:val="32"/>
          <w:szCs w:val="32"/>
        </w:rPr>
        <w:t>全年</w:t>
      </w:r>
      <w:r>
        <w:rPr>
          <w:rFonts w:ascii="仿宋_GB2312" w:eastAsia="仿宋_GB2312" w:hint="eastAsia"/>
          <w:sz w:val="32"/>
          <w:szCs w:val="32"/>
          <w:lang w:val="zh-CN"/>
        </w:rPr>
        <w:t>预算相比</w:t>
      </w:r>
      <w:r>
        <w:rPr>
          <w:rFonts w:ascii="仿宋_GB2312" w:eastAsia="仿宋_GB2312" w:hint="eastAsia"/>
          <w:sz w:val="32"/>
          <w:szCs w:val="32"/>
        </w:rPr>
        <w:t>,</w:t>
      </w:r>
      <w:r>
        <w:rPr>
          <w:rFonts w:ascii="仿宋_GB2312" w:eastAsia="仿宋_GB2312" w:hint="eastAsia"/>
          <w:sz w:val="32"/>
          <w:szCs w:val="32"/>
          <w:lang w:val="zh-CN"/>
        </w:rPr>
        <w:t>财政拨款“三公”经费支出</w:t>
      </w:r>
      <w:r>
        <w:rPr>
          <w:rFonts w:ascii="仿宋_GB2312" w:eastAsia="仿宋_GB2312" w:hint="eastAsia"/>
          <w:sz w:val="32"/>
          <w:szCs w:val="32"/>
        </w:rPr>
        <w:t>全年</w:t>
      </w:r>
      <w:r>
        <w:rPr>
          <w:rFonts w:ascii="仿宋_GB2312" w:eastAsia="仿宋_GB2312" w:hint="eastAsia"/>
          <w:sz w:val="32"/>
          <w:szCs w:val="32"/>
          <w:lang w:val="zh-CN"/>
        </w:rPr>
        <w:t>预算数0.27万元，决算数0.27万元，预决算差异率0.00%，主要原因是：严格按照预算执行，预决算对比无差异。其中：因公出国（境）费</w:t>
      </w:r>
      <w:r>
        <w:rPr>
          <w:rFonts w:ascii="仿宋_GB2312" w:eastAsia="仿宋_GB2312" w:hint="eastAsia"/>
          <w:sz w:val="32"/>
          <w:szCs w:val="32"/>
        </w:rPr>
        <w:t>全年预算数</w:t>
      </w:r>
      <w:r>
        <w:rPr>
          <w:rFonts w:ascii="仿宋_GB2312" w:eastAsia="仿宋_GB2312" w:hint="eastAsia"/>
          <w:sz w:val="32"/>
          <w:szCs w:val="32"/>
          <w:lang w:val="zh-CN"/>
        </w:rPr>
        <w:t>0.00万元，决算数0.00万元，预决算差异率0.00%，主要原因是：单位本年无此项经费；公务用车购置费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预算数0.00万元，决算数0.00万元，预决算差异率0.00%，主要原因是：单位本年无此项经费；公务用车运行费</w:t>
      </w:r>
      <w:r>
        <w:rPr>
          <w:rFonts w:ascii="仿宋_GB2312" w:eastAsia="仿宋_GB2312" w:hint="eastAsia"/>
          <w:sz w:val="32"/>
          <w:szCs w:val="32"/>
        </w:rPr>
        <w:t>全年</w:t>
      </w:r>
      <w:r>
        <w:rPr>
          <w:rFonts w:ascii="仿宋_GB2312" w:eastAsia="仿宋_GB2312" w:hint="eastAsia"/>
          <w:sz w:val="32"/>
          <w:szCs w:val="32"/>
          <w:lang w:val="zh-CN"/>
        </w:rPr>
        <w:t>预算数0.27万元，决算数0.27万元，预决算差异率0.00%，主要原因是：严格按照预算执行，预决算对比无差异；公务接待费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预算数0.00万元，决算数0.00万元，预决算差异率0.00%，主要原因是：单位本年无此项经费。</w:t>
      </w:r>
    </w:p>
    <w:p w14:paraId="350E77C5" w14:textId="77777777" w:rsidR="00BA7812" w:rsidRDefault="00000000">
      <w:pPr>
        <w:ind w:firstLineChars="200" w:firstLine="640"/>
        <w:jc w:val="left"/>
        <w:outlineLvl w:val="1"/>
        <w:rPr>
          <w:rFonts w:ascii="黑体" w:eastAsia="黑体" w:hAnsi="黑体" w:cs="宋体" w:hint="eastAsia"/>
          <w:bCs/>
          <w:kern w:val="0"/>
          <w:sz w:val="32"/>
          <w:szCs w:val="32"/>
        </w:rPr>
      </w:pPr>
      <w:bookmarkStart w:id="18" w:name="_Toc7927"/>
      <w:bookmarkStart w:id="19" w:name="_Toc5810"/>
      <w:r>
        <w:rPr>
          <w:rFonts w:ascii="黑体" w:eastAsia="黑体" w:hAnsi="黑体" w:cs="宋体" w:hint="eastAsia"/>
          <w:bCs/>
          <w:kern w:val="0"/>
          <w:sz w:val="32"/>
          <w:szCs w:val="32"/>
        </w:rPr>
        <w:t>八、政府性基金预算财政拨款收入支出决算情况说明</w:t>
      </w:r>
      <w:bookmarkEnd w:id="18"/>
      <w:bookmarkEnd w:id="19"/>
    </w:p>
    <w:p w14:paraId="071594F1" w14:textId="77777777" w:rsidR="00BA7812" w:rsidRDefault="00000000">
      <w:pPr>
        <w:ind w:firstLineChars="200" w:firstLine="640"/>
        <w:jc w:val="left"/>
        <w:rPr>
          <w:rFonts w:ascii="仿宋_GB2312" w:eastAsia="仿宋_GB2312"/>
          <w:sz w:val="32"/>
          <w:szCs w:val="32"/>
        </w:rPr>
      </w:pPr>
      <w:r>
        <w:rPr>
          <w:rFonts w:ascii="仿宋_GB2312" w:eastAsia="仿宋_GB2312" w:hint="eastAsia"/>
          <w:sz w:val="32"/>
          <w:szCs w:val="32"/>
        </w:rPr>
        <w:lastRenderedPageBreak/>
        <w:t>我单位本年度无政府性基金预算财政拨款收入、支出及结转和结余，政府性基金预算财政拨款收入支出决算表为空表。</w:t>
      </w:r>
    </w:p>
    <w:p w14:paraId="61FF82E4" w14:textId="77777777" w:rsidR="00BA7812"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九、国有资本经营预算财政拨款收入支出决算情况说明</w:t>
      </w:r>
    </w:p>
    <w:p w14:paraId="224D5E84" w14:textId="77777777" w:rsidR="00BA7812" w:rsidRDefault="00000000">
      <w:pPr>
        <w:ind w:firstLineChars="200" w:firstLine="640"/>
        <w:jc w:val="left"/>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我单位本年度无国有资本经营预算财政拨款收入、支出及结转和结余，国有资本经营预算财政拨款收入支出决算表为空表。</w:t>
      </w:r>
    </w:p>
    <w:p w14:paraId="0D2FA0D5" w14:textId="77777777" w:rsidR="00BA7812" w:rsidRDefault="00000000">
      <w:pPr>
        <w:ind w:firstLineChars="200" w:firstLine="640"/>
        <w:jc w:val="left"/>
        <w:outlineLvl w:val="1"/>
        <w:rPr>
          <w:rFonts w:ascii="黑体" w:eastAsia="黑体" w:hAnsi="黑体" w:cs="宋体" w:hint="eastAsia"/>
          <w:bCs/>
          <w:kern w:val="0"/>
          <w:sz w:val="32"/>
          <w:szCs w:val="32"/>
        </w:rPr>
      </w:pPr>
      <w:bookmarkStart w:id="20" w:name="_Toc7314"/>
      <w:bookmarkStart w:id="21" w:name="_Toc1235"/>
      <w:r>
        <w:rPr>
          <w:rFonts w:ascii="黑体" w:eastAsia="黑体" w:hAnsi="黑体" w:cs="宋体" w:hint="eastAsia"/>
          <w:bCs/>
          <w:kern w:val="0"/>
          <w:sz w:val="32"/>
          <w:szCs w:val="32"/>
        </w:rPr>
        <w:t>十、其他重要事项的情况说明</w:t>
      </w:r>
      <w:bookmarkEnd w:id="20"/>
      <w:bookmarkEnd w:id="21"/>
    </w:p>
    <w:p w14:paraId="7739CBAA" w14:textId="77777777" w:rsidR="00BA7812" w:rsidRDefault="00000000">
      <w:pPr>
        <w:ind w:firstLineChars="200" w:firstLine="640"/>
        <w:jc w:val="left"/>
        <w:outlineLvl w:val="2"/>
        <w:rPr>
          <w:rFonts w:ascii="黑体" w:eastAsia="黑体" w:hAnsi="黑体" w:hint="eastAsia"/>
          <w:sz w:val="32"/>
          <w:szCs w:val="32"/>
        </w:rPr>
      </w:pPr>
      <w:bookmarkStart w:id="22" w:name="_Toc14519"/>
      <w:bookmarkStart w:id="23" w:name="_Toc13105"/>
      <w:r>
        <w:rPr>
          <w:rFonts w:ascii="黑体" w:eastAsia="黑体" w:hAnsi="黑体" w:hint="eastAsia"/>
          <w:sz w:val="32"/>
          <w:szCs w:val="32"/>
        </w:rPr>
        <w:t>（一）机关运行经费支出情况</w:t>
      </w:r>
      <w:bookmarkEnd w:id="22"/>
      <w:bookmarkEnd w:id="23"/>
    </w:p>
    <w:p w14:paraId="7F47331D" w14:textId="35032895" w:rsidR="00BA7812" w:rsidRDefault="00000000">
      <w:pPr>
        <w:ind w:firstLineChars="200" w:firstLine="640"/>
        <w:jc w:val="left"/>
        <w:rPr>
          <w:rFonts w:ascii="仿宋_GB2312" w:eastAsia="仿宋_GB2312"/>
          <w:sz w:val="32"/>
          <w:szCs w:val="32"/>
        </w:rPr>
      </w:pPr>
      <w:bookmarkStart w:id="24" w:name="_Toc26704"/>
      <w:bookmarkStart w:id="25" w:name="_Toc227"/>
      <w:r>
        <w:rPr>
          <w:rFonts w:ascii="仿宋_GB2312" w:eastAsia="仿宋_GB2312" w:hint="eastAsia"/>
          <w:sz w:val="32"/>
          <w:szCs w:val="32"/>
        </w:rPr>
        <w:t>2023年度中共木垒哈萨克自治县直属机关工作委员会（行政单位和参照公务员法管理事业单位）机关运行经费支出6.00万元，比上年增加4.4</w:t>
      </w:r>
      <w:r w:rsidR="0007722A">
        <w:rPr>
          <w:rFonts w:ascii="仿宋_GB2312" w:eastAsia="仿宋_GB2312" w:hint="eastAsia"/>
          <w:sz w:val="32"/>
          <w:szCs w:val="32"/>
        </w:rPr>
        <w:t>8</w:t>
      </w:r>
      <w:r>
        <w:rPr>
          <w:rFonts w:ascii="仿宋_GB2312" w:eastAsia="仿宋_GB2312" w:hint="eastAsia"/>
          <w:sz w:val="32"/>
          <w:szCs w:val="32"/>
        </w:rPr>
        <w:t>万元，增长</w:t>
      </w:r>
      <w:r w:rsidR="0007722A">
        <w:rPr>
          <w:rFonts w:ascii="仿宋_GB2312" w:eastAsia="仿宋_GB2312" w:hint="eastAsia"/>
          <w:sz w:val="32"/>
          <w:szCs w:val="32"/>
        </w:rPr>
        <w:t>294.74</w:t>
      </w:r>
      <w:r>
        <w:rPr>
          <w:rFonts w:ascii="仿宋_GB2312" w:eastAsia="仿宋_GB2312" w:hint="eastAsia"/>
          <w:sz w:val="32"/>
          <w:szCs w:val="32"/>
        </w:rPr>
        <w:t>%，主要原因是：本年单位办公费、水费、电费增加。</w:t>
      </w:r>
    </w:p>
    <w:p w14:paraId="6980D133" w14:textId="77777777" w:rsidR="00BA7812" w:rsidRDefault="00000000">
      <w:pPr>
        <w:ind w:firstLineChars="200" w:firstLine="640"/>
        <w:jc w:val="left"/>
        <w:rPr>
          <w:rFonts w:eastAsia="黑体"/>
          <w:sz w:val="32"/>
          <w:szCs w:val="30"/>
          <w:lang w:val="zh-CN"/>
        </w:rPr>
      </w:pPr>
      <w:r>
        <w:rPr>
          <w:rFonts w:eastAsia="黑体" w:hint="eastAsia"/>
          <w:sz w:val="32"/>
          <w:szCs w:val="30"/>
          <w:lang w:val="zh-CN"/>
        </w:rPr>
        <w:t>（二）政府采购情况</w:t>
      </w:r>
      <w:bookmarkEnd w:id="24"/>
      <w:bookmarkEnd w:id="25"/>
    </w:p>
    <w:p w14:paraId="0DE68080" w14:textId="77777777" w:rsidR="00BA7812"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2023年度政府采购支出总额0.00万元，其中：政府采购货物支出0.00万元、政府采购工程支出0.00万元、政府采购服务支出0.00万元。</w:t>
      </w:r>
    </w:p>
    <w:p w14:paraId="5EDC6259" w14:textId="77777777" w:rsidR="00BA7812" w:rsidRDefault="00000000">
      <w:pPr>
        <w:ind w:firstLineChars="200" w:firstLine="640"/>
        <w:jc w:val="left"/>
        <w:rPr>
          <w:rFonts w:ascii="仿宋_GB2312" w:eastAsia="仿宋_GB2312"/>
          <w:sz w:val="32"/>
          <w:szCs w:val="32"/>
        </w:rPr>
      </w:pPr>
      <w:r>
        <w:rPr>
          <w:rFonts w:ascii="仿宋_GB2312" w:eastAsia="仿宋_GB2312" w:hint="eastAsia"/>
          <w:sz w:val="32"/>
          <w:szCs w:val="32"/>
        </w:rPr>
        <w:t>授予中小企业合同金额0.00万元，占政府采购支出总额的0.00</w:t>
      </w:r>
      <w:r>
        <w:rPr>
          <w:rFonts w:ascii="仿宋_GB2312" w:eastAsia="仿宋_GB2312"/>
          <w:sz w:val="32"/>
          <w:szCs w:val="32"/>
        </w:rPr>
        <w:t>%</w:t>
      </w:r>
      <w:r>
        <w:rPr>
          <w:rFonts w:ascii="仿宋_GB2312" w:eastAsia="仿宋_GB2312" w:hint="eastAsia"/>
          <w:sz w:val="32"/>
          <w:szCs w:val="32"/>
        </w:rPr>
        <w:t>，其中：授予小</w:t>
      </w:r>
      <w:proofErr w:type="gramStart"/>
      <w:r>
        <w:rPr>
          <w:rFonts w:ascii="仿宋_GB2312" w:eastAsia="仿宋_GB2312" w:hint="eastAsia"/>
          <w:sz w:val="32"/>
          <w:szCs w:val="32"/>
        </w:rPr>
        <w:t>微企业</w:t>
      </w:r>
      <w:proofErr w:type="gramEnd"/>
      <w:r>
        <w:rPr>
          <w:rFonts w:ascii="仿宋_GB2312" w:eastAsia="仿宋_GB2312" w:hint="eastAsia"/>
          <w:sz w:val="32"/>
          <w:szCs w:val="32"/>
        </w:rPr>
        <w:t>合同金额0.00万元，占政府采购支出总额的0.00</w:t>
      </w:r>
      <w:r>
        <w:rPr>
          <w:rFonts w:ascii="仿宋_GB2312" w:eastAsia="仿宋_GB2312"/>
          <w:sz w:val="32"/>
          <w:szCs w:val="32"/>
        </w:rPr>
        <w:t>%</w:t>
      </w:r>
      <w:r>
        <w:rPr>
          <w:rFonts w:ascii="仿宋_GB2312" w:eastAsia="仿宋_GB2312" w:hint="eastAsia"/>
          <w:sz w:val="32"/>
          <w:szCs w:val="32"/>
        </w:rPr>
        <w:t>。</w:t>
      </w:r>
    </w:p>
    <w:p w14:paraId="47B5E4D8" w14:textId="77777777" w:rsidR="00BA7812" w:rsidRDefault="00000000">
      <w:pPr>
        <w:ind w:firstLineChars="200" w:firstLine="640"/>
        <w:jc w:val="left"/>
        <w:rPr>
          <w:rFonts w:eastAsia="黑体"/>
          <w:sz w:val="32"/>
          <w:szCs w:val="30"/>
          <w:lang w:val="zh-CN"/>
        </w:rPr>
      </w:pPr>
      <w:bookmarkStart w:id="26" w:name="_Toc8391"/>
      <w:bookmarkStart w:id="27" w:name="_Toc4591"/>
      <w:r>
        <w:rPr>
          <w:rFonts w:eastAsia="黑体" w:hint="eastAsia"/>
          <w:sz w:val="32"/>
          <w:szCs w:val="30"/>
          <w:lang w:val="zh-CN"/>
        </w:rPr>
        <w:t>（三）国有资产占用情况说明</w:t>
      </w:r>
      <w:bookmarkEnd w:id="26"/>
      <w:bookmarkEnd w:id="27"/>
    </w:p>
    <w:p w14:paraId="28191D9E" w14:textId="412C7080" w:rsidR="00BA7812" w:rsidRDefault="00000000">
      <w:pPr>
        <w:ind w:firstLineChars="200" w:firstLine="640"/>
        <w:jc w:val="left"/>
        <w:rPr>
          <w:rFonts w:ascii="仿宋_GB2312" w:eastAsia="仿宋_GB2312"/>
          <w:sz w:val="32"/>
          <w:szCs w:val="32"/>
        </w:rPr>
      </w:pPr>
      <w:r>
        <w:rPr>
          <w:rFonts w:ascii="仿宋_GB2312" w:eastAsia="仿宋_GB2312" w:hint="eastAsia"/>
          <w:sz w:val="32"/>
          <w:szCs w:val="32"/>
        </w:rPr>
        <w:t>截至2023年12月31日，固定资产原值36.70万元，</w:t>
      </w:r>
      <w:r>
        <w:rPr>
          <w:rFonts w:ascii="仿宋_GB2312" w:eastAsia="仿宋_GB2312" w:hint="eastAsia"/>
          <w:sz w:val="32"/>
          <w:szCs w:val="32"/>
        </w:rPr>
        <w:lastRenderedPageBreak/>
        <w:t>房屋45.0</w:t>
      </w:r>
      <w:r w:rsidR="003A2F91">
        <w:rPr>
          <w:rFonts w:ascii="仿宋_GB2312" w:eastAsia="仿宋_GB2312" w:hint="eastAsia"/>
          <w:sz w:val="32"/>
          <w:szCs w:val="32"/>
        </w:rPr>
        <w:t>0</w:t>
      </w:r>
      <w:r>
        <w:rPr>
          <w:rFonts w:ascii="仿宋_GB2312" w:eastAsia="仿宋_GB2312" w:hint="eastAsia"/>
          <w:sz w:val="32"/>
          <w:szCs w:val="32"/>
        </w:rPr>
        <w:t>平方米，价值10.00万元。车辆1辆，价值13.80万元，其中：副部（省）级及以上领导用车0辆、主要负责人用车0辆、机要通信用车0辆、应急保障用车0辆、执法执勤用车0辆、特种专业技术用车0辆、离退休干部服务用车0辆、其他用车1辆，其他用车主要是：单位业务用车；单价100万元（含）以上设备（不含车辆）0台（套）。</w:t>
      </w:r>
    </w:p>
    <w:p w14:paraId="6692067F" w14:textId="77777777" w:rsidR="00BA7812" w:rsidRDefault="00000000">
      <w:pPr>
        <w:ind w:firstLineChars="200" w:firstLine="640"/>
        <w:jc w:val="left"/>
        <w:outlineLvl w:val="1"/>
        <w:rPr>
          <w:rFonts w:ascii="黑体" w:eastAsia="黑体" w:hAnsi="黑体" w:cs="宋体" w:hint="eastAsia"/>
          <w:bCs/>
          <w:kern w:val="0"/>
          <w:sz w:val="32"/>
          <w:szCs w:val="32"/>
        </w:rPr>
      </w:pPr>
      <w:bookmarkStart w:id="28" w:name="_Toc11283"/>
      <w:bookmarkStart w:id="29" w:name="_Toc435"/>
      <w:r>
        <w:rPr>
          <w:rFonts w:ascii="黑体" w:eastAsia="黑体" w:hAnsi="黑体" w:cs="宋体" w:hint="eastAsia"/>
          <w:bCs/>
          <w:kern w:val="0"/>
          <w:sz w:val="32"/>
          <w:szCs w:val="32"/>
        </w:rPr>
        <w:t>十一、预算绩效的情况说明</w:t>
      </w:r>
      <w:bookmarkEnd w:id="28"/>
      <w:bookmarkEnd w:id="29"/>
    </w:p>
    <w:p w14:paraId="0B1016A6" w14:textId="77777777" w:rsidR="00BA7812" w:rsidRDefault="00000000">
      <w:pPr>
        <w:ind w:firstLineChars="200" w:firstLine="640"/>
        <w:jc w:val="left"/>
        <w:rPr>
          <w:rFonts w:ascii="仿宋_GB2312" w:eastAsia="仿宋_GB2312"/>
          <w:sz w:val="32"/>
          <w:szCs w:val="32"/>
        </w:rPr>
      </w:pPr>
      <w:r>
        <w:rPr>
          <w:rFonts w:ascii="仿宋_GB2312" w:eastAsia="仿宋_GB2312" w:hint="eastAsia"/>
          <w:sz w:val="32"/>
          <w:szCs w:val="32"/>
        </w:rPr>
        <w:t>根据预算绩效管理要求，我单位2023年度</w:t>
      </w:r>
      <w:r>
        <w:rPr>
          <w:rFonts w:ascii="仿宋_GB2312" w:eastAsia="仿宋_GB2312" w:hAnsi="仿宋_GB2312" w:cs="仿宋_GB2312" w:hint="eastAsia"/>
          <w:kern w:val="0"/>
          <w:sz w:val="32"/>
          <w:szCs w:val="32"/>
        </w:rPr>
        <w:t>预算绩效管理整体支出绩效自评表</w:t>
      </w:r>
      <w:r>
        <w:rPr>
          <w:rFonts w:ascii="仿宋_GB2312" w:eastAsia="仿宋_GB2312" w:hint="eastAsia"/>
          <w:sz w:val="32"/>
          <w:szCs w:val="32"/>
        </w:rPr>
        <w:t>1</w:t>
      </w:r>
      <w:r>
        <w:rPr>
          <w:rFonts w:ascii="仿宋_GB2312" w:eastAsia="仿宋_GB2312" w:hAnsi="仿宋_GB2312" w:cs="仿宋_GB2312" w:hint="eastAsia"/>
          <w:kern w:val="0"/>
          <w:sz w:val="32"/>
          <w:szCs w:val="32"/>
        </w:rPr>
        <w:t>个，全年</w:t>
      </w:r>
      <w:r>
        <w:rPr>
          <w:rFonts w:ascii="仿宋_GB2312" w:eastAsia="仿宋_GB2312" w:hint="eastAsia"/>
          <w:sz w:val="32"/>
          <w:szCs w:val="32"/>
        </w:rPr>
        <w:t>预算总额</w:t>
      </w:r>
      <w:r>
        <w:rPr>
          <w:rFonts w:ascii="仿宋_GB2312" w:eastAsia="仿宋_GB2312"/>
          <w:sz w:val="32"/>
          <w:szCs w:val="32"/>
        </w:rPr>
        <w:t>117.94</w:t>
      </w:r>
      <w:r>
        <w:rPr>
          <w:rFonts w:ascii="仿宋_GB2312" w:eastAsia="仿宋_GB2312" w:hint="eastAsia"/>
          <w:sz w:val="32"/>
          <w:szCs w:val="32"/>
        </w:rPr>
        <w:t>万元，实际执行总额</w:t>
      </w:r>
      <w:r>
        <w:rPr>
          <w:rFonts w:ascii="仿宋_GB2312" w:eastAsia="仿宋_GB2312"/>
          <w:sz w:val="32"/>
          <w:szCs w:val="32"/>
        </w:rPr>
        <w:t>117.94</w:t>
      </w:r>
      <w:r>
        <w:rPr>
          <w:rFonts w:ascii="仿宋_GB2312" w:eastAsia="仿宋_GB2312" w:hint="eastAsia"/>
          <w:sz w:val="32"/>
          <w:szCs w:val="32"/>
        </w:rPr>
        <w:t>万元</w:t>
      </w:r>
      <w:r>
        <w:rPr>
          <w:rFonts w:ascii="仿宋_GB2312" w:eastAsia="仿宋_GB2312" w:hAnsi="仿宋_GB2312" w:cs="仿宋_GB2312" w:hint="eastAsia"/>
          <w:kern w:val="0"/>
          <w:sz w:val="32"/>
          <w:szCs w:val="32"/>
        </w:rPr>
        <w:t>；</w:t>
      </w:r>
      <w:r>
        <w:rPr>
          <w:rFonts w:ascii="仿宋_GB2312" w:eastAsia="仿宋_GB2312" w:hint="eastAsia"/>
          <w:sz w:val="32"/>
          <w:szCs w:val="32"/>
        </w:rPr>
        <w:t>预算绩效评价项目0个，全年预算数0.00万元，全年执行数0.00万元。预算绩效管理取得的成效：一是做好群众服务工作，保障社会大局稳定，提高群众安全感；二是促进统筹规划和综合协调，提升人居环境质量,提升群众人居环境。发现的问题及原因：一是部门职能不明确，个别工作分工不清晰，</w:t>
      </w:r>
      <w:proofErr w:type="gramStart"/>
      <w:r>
        <w:rPr>
          <w:rFonts w:ascii="仿宋_GB2312" w:eastAsia="仿宋_GB2312" w:hint="eastAsia"/>
          <w:sz w:val="32"/>
          <w:szCs w:val="32"/>
        </w:rPr>
        <w:t>且人员</w:t>
      </w:r>
      <w:proofErr w:type="gramEnd"/>
      <w:r>
        <w:rPr>
          <w:rFonts w:ascii="仿宋_GB2312" w:eastAsia="仿宋_GB2312" w:hint="eastAsia"/>
          <w:sz w:val="32"/>
          <w:szCs w:val="32"/>
        </w:rPr>
        <w:t>培训和绩效考核制度不够完善，考核方案部分内容和人员名单更新滞后；二是部门整体绩效指标应从单位全局高度出发，围绕部门单位履职的核心任务，分析提炼部门单位年度目标，再细化为具体的三级指标，以结果性、效益性指标为主。下一步改进措施：一是构建专业、客观、独立、多样的绩效评价主体。在可能的条件下，引入社会绩效评价组织，专家，高效研究人员等；二是提高部门整体支出绩效目标设定的合理性，重视</w:t>
      </w:r>
      <w:r>
        <w:rPr>
          <w:rFonts w:ascii="仿宋_GB2312" w:eastAsia="仿宋_GB2312" w:hint="eastAsia"/>
          <w:sz w:val="32"/>
          <w:szCs w:val="32"/>
        </w:rPr>
        <w:lastRenderedPageBreak/>
        <w:t>部门整体支出绩效评价中的问题总结。具体项目自评情况附绩效自评表及自评报告。</w:t>
      </w:r>
    </w:p>
    <w:tbl>
      <w:tblPr>
        <w:tblW w:w="5000" w:type="pct"/>
        <w:jc w:val="center"/>
        <w:tblLayout w:type="fixed"/>
        <w:tblLook w:val="04A0" w:firstRow="1" w:lastRow="0" w:firstColumn="1" w:lastColumn="0" w:noHBand="0" w:noVBand="1"/>
      </w:tblPr>
      <w:tblGrid>
        <w:gridCol w:w="960"/>
        <w:gridCol w:w="1273"/>
        <w:gridCol w:w="1284"/>
        <w:gridCol w:w="1104"/>
        <w:gridCol w:w="1224"/>
        <w:gridCol w:w="948"/>
        <w:gridCol w:w="996"/>
        <w:gridCol w:w="733"/>
      </w:tblGrid>
      <w:tr w:rsidR="00BA7812" w14:paraId="053D7A70" w14:textId="77777777">
        <w:trPr>
          <w:trHeight w:val="522"/>
          <w:jc w:val="center"/>
        </w:trPr>
        <w:tc>
          <w:tcPr>
            <w:tcW w:w="8522" w:type="dxa"/>
            <w:gridSpan w:val="8"/>
            <w:tcBorders>
              <w:top w:val="single" w:sz="4" w:space="0" w:color="auto"/>
              <w:left w:val="single" w:sz="4" w:space="0" w:color="auto"/>
              <w:bottom w:val="single" w:sz="4" w:space="0" w:color="auto"/>
              <w:right w:val="single" w:sz="4" w:space="0" w:color="auto"/>
            </w:tcBorders>
            <w:shd w:val="clear" w:color="auto" w:fill="auto"/>
            <w:noWrap/>
            <w:vAlign w:val="center"/>
          </w:tcPr>
          <w:p w14:paraId="03418FFC"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部门（单位）整体支出绩效目标自评表</w:t>
            </w:r>
          </w:p>
        </w:tc>
      </w:tr>
      <w:tr w:rsidR="00BA7812" w14:paraId="5909E6A2" w14:textId="77777777">
        <w:trPr>
          <w:trHeight w:val="360"/>
          <w:jc w:val="center"/>
        </w:trPr>
        <w:tc>
          <w:tcPr>
            <w:tcW w:w="8522" w:type="dxa"/>
            <w:gridSpan w:val="8"/>
            <w:tcBorders>
              <w:top w:val="single" w:sz="4" w:space="0" w:color="auto"/>
              <w:left w:val="single" w:sz="4" w:space="0" w:color="auto"/>
              <w:bottom w:val="single" w:sz="4" w:space="0" w:color="auto"/>
              <w:right w:val="single" w:sz="4" w:space="0" w:color="auto"/>
            </w:tcBorders>
            <w:shd w:val="clear" w:color="auto" w:fill="auto"/>
            <w:noWrap/>
            <w:vAlign w:val="center"/>
          </w:tcPr>
          <w:p w14:paraId="228EBD89"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（2023年度）</w:t>
            </w:r>
          </w:p>
        </w:tc>
      </w:tr>
      <w:tr w:rsidR="00BA7812" w14:paraId="0887A278" w14:textId="77777777">
        <w:trPr>
          <w:trHeight w:val="66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E1B671"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部门（单位）名称</w:t>
            </w:r>
          </w:p>
        </w:tc>
        <w:tc>
          <w:tcPr>
            <w:tcW w:w="7562" w:type="dxa"/>
            <w:gridSpan w:val="7"/>
            <w:tcBorders>
              <w:top w:val="single" w:sz="4" w:space="0" w:color="auto"/>
              <w:left w:val="nil"/>
              <w:bottom w:val="single" w:sz="4" w:space="0" w:color="auto"/>
              <w:right w:val="single" w:sz="4" w:space="0" w:color="auto"/>
            </w:tcBorders>
            <w:shd w:val="clear" w:color="auto" w:fill="auto"/>
            <w:noWrap/>
            <w:vAlign w:val="center"/>
          </w:tcPr>
          <w:p w14:paraId="4D2110A0"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木垒县机关工委本级</w:t>
            </w:r>
          </w:p>
        </w:tc>
      </w:tr>
      <w:tr w:rsidR="00BA7812" w14:paraId="1F05EA25" w14:textId="77777777">
        <w:trPr>
          <w:trHeight w:val="570"/>
          <w:jc w:val="center"/>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6708EFD"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部门资金（万元）</w:t>
            </w:r>
          </w:p>
        </w:tc>
        <w:tc>
          <w:tcPr>
            <w:tcW w:w="1273" w:type="dxa"/>
            <w:tcBorders>
              <w:top w:val="nil"/>
              <w:left w:val="nil"/>
              <w:bottom w:val="single" w:sz="4" w:space="0" w:color="auto"/>
              <w:right w:val="single" w:sz="4" w:space="0" w:color="auto"/>
            </w:tcBorders>
            <w:shd w:val="clear" w:color="auto" w:fill="auto"/>
            <w:vAlign w:val="center"/>
          </w:tcPr>
          <w:p w14:paraId="372A5EFF"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资金来源</w:t>
            </w:r>
          </w:p>
        </w:tc>
        <w:tc>
          <w:tcPr>
            <w:tcW w:w="1284" w:type="dxa"/>
            <w:tcBorders>
              <w:top w:val="nil"/>
              <w:left w:val="nil"/>
              <w:bottom w:val="single" w:sz="4" w:space="0" w:color="auto"/>
              <w:right w:val="single" w:sz="4" w:space="0" w:color="auto"/>
            </w:tcBorders>
            <w:shd w:val="clear" w:color="auto" w:fill="auto"/>
            <w:vAlign w:val="center"/>
          </w:tcPr>
          <w:p w14:paraId="6F8B235E"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年初预算数</w:t>
            </w:r>
          </w:p>
        </w:tc>
        <w:tc>
          <w:tcPr>
            <w:tcW w:w="1104" w:type="dxa"/>
            <w:tcBorders>
              <w:top w:val="nil"/>
              <w:left w:val="nil"/>
              <w:bottom w:val="single" w:sz="4" w:space="0" w:color="auto"/>
              <w:right w:val="single" w:sz="4" w:space="0" w:color="auto"/>
            </w:tcBorders>
            <w:shd w:val="clear" w:color="auto" w:fill="auto"/>
            <w:vAlign w:val="center"/>
          </w:tcPr>
          <w:p w14:paraId="47D8B8F8"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全年预算数</w:t>
            </w:r>
          </w:p>
        </w:tc>
        <w:tc>
          <w:tcPr>
            <w:tcW w:w="1224" w:type="dxa"/>
            <w:tcBorders>
              <w:top w:val="nil"/>
              <w:left w:val="nil"/>
              <w:bottom w:val="single" w:sz="4" w:space="0" w:color="auto"/>
              <w:right w:val="single" w:sz="4" w:space="0" w:color="auto"/>
            </w:tcBorders>
            <w:shd w:val="clear" w:color="auto" w:fill="auto"/>
            <w:vAlign w:val="center"/>
          </w:tcPr>
          <w:p w14:paraId="603CEA9E"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全年执行数</w:t>
            </w:r>
          </w:p>
        </w:tc>
        <w:tc>
          <w:tcPr>
            <w:tcW w:w="948" w:type="dxa"/>
            <w:tcBorders>
              <w:top w:val="nil"/>
              <w:left w:val="nil"/>
              <w:bottom w:val="single" w:sz="4" w:space="0" w:color="auto"/>
              <w:right w:val="single" w:sz="4" w:space="0" w:color="auto"/>
            </w:tcBorders>
            <w:shd w:val="clear" w:color="auto" w:fill="auto"/>
            <w:vAlign w:val="center"/>
          </w:tcPr>
          <w:p w14:paraId="1C019827"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分值权重</w:t>
            </w:r>
          </w:p>
        </w:tc>
        <w:tc>
          <w:tcPr>
            <w:tcW w:w="996" w:type="dxa"/>
            <w:tcBorders>
              <w:top w:val="nil"/>
              <w:left w:val="nil"/>
              <w:bottom w:val="single" w:sz="4" w:space="0" w:color="auto"/>
              <w:right w:val="single" w:sz="4" w:space="0" w:color="auto"/>
            </w:tcBorders>
            <w:shd w:val="clear" w:color="auto" w:fill="auto"/>
            <w:vAlign w:val="center"/>
          </w:tcPr>
          <w:p w14:paraId="0436C11A"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执行率</w:t>
            </w:r>
          </w:p>
        </w:tc>
        <w:tc>
          <w:tcPr>
            <w:tcW w:w="733" w:type="dxa"/>
            <w:tcBorders>
              <w:top w:val="nil"/>
              <w:left w:val="nil"/>
              <w:bottom w:val="single" w:sz="4" w:space="0" w:color="auto"/>
              <w:right w:val="single" w:sz="4" w:space="0" w:color="auto"/>
            </w:tcBorders>
            <w:shd w:val="clear" w:color="auto" w:fill="auto"/>
            <w:vAlign w:val="center"/>
          </w:tcPr>
          <w:p w14:paraId="439AA703"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得分</w:t>
            </w:r>
          </w:p>
        </w:tc>
      </w:tr>
      <w:tr w:rsidR="00BA7812" w14:paraId="30FCBC6A" w14:textId="77777777">
        <w:trPr>
          <w:trHeight w:val="879"/>
          <w:jc w:val="center"/>
        </w:trPr>
        <w:tc>
          <w:tcPr>
            <w:tcW w:w="960" w:type="dxa"/>
            <w:vMerge/>
            <w:tcBorders>
              <w:top w:val="single" w:sz="4" w:space="0" w:color="auto"/>
              <w:left w:val="single" w:sz="4" w:space="0" w:color="auto"/>
              <w:bottom w:val="single" w:sz="4" w:space="0" w:color="auto"/>
              <w:right w:val="single" w:sz="4" w:space="0" w:color="auto"/>
            </w:tcBorders>
            <w:vAlign w:val="center"/>
          </w:tcPr>
          <w:p w14:paraId="40F44EEE" w14:textId="77777777" w:rsidR="00BA7812" w:rsidRDefault="00BA7812">
            <w:pPr>
              <w:widowControl/>
              <w:jc w:val="left"/>
              <w:rPr>
                <w:rFonts w:ascii="宋体" w:hAnsi="宋体" w:cs="宋体" w:hint="eastAsia"/>
                <w:kern w:val="0"/>
                <w:sz w:val="20"/>
                <w:szCs w:val="20"/>
              </w:rPr>
            </w:pPr>
          </w:p>
        </w:tc>
        <w:tc>
          <w:tcPr>
            <w:tcW w:w="1273" w:type="dxa"/>
            <w:tcBorders>
              <w:top w:val="nil"/>
              <w:left w:val="nil"/>
              <w:bottom w:val="single" w:sz="4" w:space="0" w:color="auto"/>
              <w:right w:val="single" w:sz="4" w:space="0" w:color="auto"/>
            </w:tcBorders>
            <w:shd w:val="clear" w:color="auto" w:fill="auto"/>
            <w:noWrap/>
            <w:vAlign w:val="center"/>
          </w:tcPr>
          <w:p w14:paraId="7784D0DB"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中央安排</w:t>
            </w:r>
          </w:p>
        </w:tc>
        <w:tc>
          <w:tcPr>
            <w:tcW w:w="1284" w:type="dxa"/>
            <w:tcBorders>
              <w:top w:val="nil"/>
              <w:left w:val="nil"/>
              <w:bottom w:val="single" w:sz="4" w:space="0" w:color="auto"/>
              <w:right w:val="single" w:sz="4" w:space="0" w:color="auto"/>
            </w:tcBorders>
            <w:shd w:val="clear" w:color="auto" w:fill="auto"/>
            <w:vAlign w:val="center"/>
          </w:tcPr>
          <w:p w14:paraId="3D4D5DF1"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1104" w:type="dxa"/>
            <w:tcBorders>
              <w:top w:val="nil"/>
              <w:left w:val="nil"/>
              <w:bottom w:val="single" w:sz="4" w:space="0" w:color="auto"/>
              <w:right w:val="single" w:sz="4" w:space="0" w:color="auto"/>
            </w:tcBorders>
            <w:shd w:val="clear" w:color="auto" w:fill="auto"/>
            <w:vAlign w:val="center"/>
          </w:tcPr>
          <w:p w14:paraId="5C19AE1B"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1224" w:type="dxa"/>
            <w:tcBorders>
              <w:top w:val="nil"/>
              <w:left w:val="nil"/>
              <w:bottom w:val="single" w:sz="4" w:space="0" w:color="auto"/>
              <w:right w:val="single" w:sz="4" w:space="0" w:color="auto"/>
            </w:tcBorders>
            <w:shd w:val="clear" w:color="auto" w:fill="auto"/>
            <w:vAlign w:val="center"/>
          </w:tcPr>
          <w:p w14:paraId="60392D8E"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948" w:type="dxa"/>
            <w:tcBorders>
              <w:top w:val="nil"/>
              <w:left w:val="nil"/>
              <w:bottom w:val="single" w:sz="4" w:space="0" w:color="auto"/>
              <w:right w:val="single" w:sz="4" w:space="0" w:color="auto"/>
            </w:tcBorders>
            <w:shd w:val="clear" w:color="auto" w:fill="auto"/>
            <w:vAlign w:val="center"/>
          </w:tcPr>
          <w:p w14:paraId="0C958212"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c>
          <w:tcPr>
            <w:tcW w:w="996" w:type="dxa"/>
            <w:tcBorders>
              <w:top w:val="nil"/>
              <w:left w:val="nil"/>
              <w:bottom w:val="single" w:sz="4" w:space="0" w:color="auto"/>
              <w:right w:val="single" w:sz="4" w:space="0" w:color="auto"/>
            </w:tcBorders>
            <w:shd w:val="clear" w:color="auto" w:fill="auto"/>
            <w:vAlign w:val="center"/>
          </w:tcPr>
          <w:p w14:paraId="5EABAC14"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102.25%</w:t>
            </w:r>
          </w:p>
        </w:tc>
        <w:tc>
          <w:tcPr>
            <w:tcW w:w="733" w:type="dxa"/>
            <w:tcBorders>
              <w:top w:val="nil"/>
              <w:left w:val="nil"/>
              <w:bottom w:val="single" w:sz="4" w:space="0" w:color="auto"/>
              <w:right w:val="single" w:sz="4" w:space="0" w:color="auto"/>
            </w:tcBorders>
            <w:shd w:val="clear" w:color="auto" w:fill="auto"/>
            <w:vAlign w:val="center"/>
          </w:tcPr>
          <w:p w14:paraId="7AF5564D"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r>
      <w:tr w:rsidR="00BA7812" w14:paraId="1A2CAFEB" w14:textId="77777777">
        <w:trPr>
          <w:trHeight w:val="879"/>
          <w:jc w:val="center"/>
        </w:trPr>
        <w:tc>
          <w:tcPr>
            <w:tcW w:w="960" w:type="dxa"/>
            <w:vMerge/>
            <w:tcBorders>
              <w:top w:val="single" w:sz="4" w:space="0" w:color="auto"/>
              <w:left w:val="single" w:sz="4" w:space="0" w:color="auto"/>
              <w:bottom w:val="single" w:sz="4" w:space="0" w:color="auto"/>
              <w:right w:val="single" w:sz="4" w:space="0" w:color="auto"/>
            </w:tcBorders>
            <w:vAlign w:val="center"/>
          </w:tcPr>
          <w:p w14:paraId="6AD4EC79" w14:textId="77777777" w:rsidR="00BA7812" w:rsidRDefault="00BA7812">
            <w:pPr>
              <w:widowControl/>
              <w:jc w:val="left"/>
              <w:rPr>
                <w:rFonts w:ascii="宋体" w:hAnsi="宋体" w:cs="宋体" w:hint="eastAsia"/>
                <w:kern w:val="0"/>
                <w:sz w:val="20"/>
                <w:szCs w:val="20"/>
              </w:rPr>
            </w:pPr>
          </w:p>
        </w:tc>
        <w:tc>
          <w:tcPr>
            <w:tcW w:w="1273" w:type="dxa"/>
            <w:tcBorders>
              <w:top w:val="nil"/>
              <w:left w:val="nil"/>
              <w:bottom w:val="single" w:sz="4" w:space="0" w:color="auto"/>
              <w:right w:val="single" w:sz="4" w:space="0" w:color="auto"/>
            </w:tcBorders>
            <w:shd w:val="clear" w:color="auto" w:fill="auto"/>
            <w:vAlign w:val="center"/>
          </w:tcPr>
          <w:p w14:paraId="0580C01E"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自治区安排</w:t>
            </w:r>
          </w:p>
        </w:tc>
        <w:tc>
          <w:tcPr>
            <w:tcW w:w="1284" w:type="dxa"/>
            <w:tcBorders>
              <w:top w:val="nil"/>
              <w:left w:val="nil"/>
              <w:bottom w:val="single" w:sz="4" w:space="0" w:color="auto"/>
              <w:right w:val="single" w:sz="4" w:space="0" w:color="auto"/>
            </w:tcBorders>
            <w:shd w:val="clear" w:color="auto" w:fill="auto"/>
            <w:vAlign w:val="center"/>
          </w:tcPr>
          <w:p w14:paraId="3756F094"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1104" w:type="dxa"/>
            <w:tcBorders>
              <w:top w:val="nil"/>
              <w:left w:val="nil"/>
              <w:bottom w:val="single" w:sz="4" w:space="0" w:color="auto"/>
              <w:right w:val="single" w:sz="4" w:space="0" w:color="auto"/>
            </w:tcBorders>
            <w:shd w:val="clear" w:color="auto" w:fill="auto"/>
            <w:vAlign w:val="center"/>
          </w:tcPr>
          <w:p w14:paraId="1D5821A7"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1224" w:type="dxa"/>
            <w:tcBorders>
              <w:top w:val="nil"/>
              <w:left w:val="nil"/>
              <w:bottom w:val="single" w:sz="4" w:space="0" w:color="auto"/>
              <w:right w:val="single" w:sz="4" w:space="0" w:color="auto"/>
            </w:tcBorders>
            <w:shd w:val="clear" w:color="auto" w:fill="auto"/>
            <w:vAlign w:val="center"/>
          </w:tcPr>
          <w:p w14:paraId="590FCCDF"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948" w:type="dxa"/>
            <w:tcBorders>
              <w:top w:val="nil"/>
              <w:left w:val="nil"/>
              <w:bottom w:val="single" w:sz="4" w:space="0" w:color="auto"/>
              <w:right w:val="single" w:sz="4" w:space="0" w:color="auto"/>
            </w:tcBorders>
            <w:shd w:val="clear" w:color="auto" w:fill="auto"/>
            <w:vAlign w:val="center"/>
          </w:tcPr>
          <w:p w14:paraId="4E33729C"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996" w:type="dxa"/>
            <w:tcBorders>
              <w:top w:val="nil"/>
              <w:left w:val="nil"/>
              <w:bottom w:val="single" w:sz="4" w:space="0" w:color="auto"/>
              <w:right w:val="single" w:sz="4" w:space="0" w:color="auto"/>
            </w:tcBorders>
            <w:shd w:val="clear" w:color="auto" w:fill="auto"/>
            <w:vAlign w:val="center"/>
          </w:tcPr>
          <w:p w14:paraId="26C09E38"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733" w:type="dxa"/>
            <w:tcBorders>
              <w:top w:val="nil"/>
              <w:left w:val="nil"/>
              <w:bottom w:val="single" w:sz="4" w:space="0" w:color="auto"/>
              <w:right w:val="single" w:sz="4" w:space="0" w:color="auto"/>
            </w:tcBorders>
            <w:shd w:val="clear" w:color="auto" w:fill="auto"/>
            <w:vAlign w:val="center"/>
          </w:tcPr>
          <w:p w14:paraId="46829220"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r>
      <w:tr w:rsidR="00BA7812" w14:paraId="77A274A1" w14:textId="77777777">
        <w:trPr>
          <w:trHeight w:val="879"/>
          <w:jc w:val="center"/>
        </w:trPr>
        <w:tc>
          <w:tcPr>
            <w:tcW w:w="960" w:type="dxa"/>
            <w:vMerge/>
            <w:tcBorders>
              <w:top w:val="single" w:sz="4" w:space="0" w:color="auto"/>
              <w:left w:val="single" w:sz="4" w:space="0" w:color="auto"/>
              <w:bottom w:val="single" w:sz="4" w:space="0" w:color="auto"/>
              <w:right w:val="single" w:sz="4" w:space="0" w:color="auto"/>
            </w:tcBorders>
            <w:vAlign w:val="center"/>
          </w:tcPr>
          <w:p w14:paraId="3F657920" w14:textId="77777777" w:rsidR="00BA7812" w:rsidRDefault="00BA7812">
            <w:pPr>
              <w:widowControl/>
              <w:jc w:val="left"/>
              <w:rPr>
                <w:rFonts w:ascii="宋体" w:hAnsi="宋体" w:cs="宋体" w:hint="eastAsia"/>
                <w:kern w:val="0"/>
                <w:sz w:val="20"/>
                <w:szCs w:val="20"/>
              </w:rPr>
            </w:pPr>
          </w:p>
        </w:tc>
        <w:tc>
          <w:tcPr>
            <w:tcW w:w="1273" w:type="dxa"/>
            <w:tcBorders>
              <w:top w:val="nil"/>
              <w:left w:val="nil"/>
              <w:bottom w:val="single" w:sz="4" w:space="0" w:color="auto"/>
              <w:right w:val="single" w:sz="4" w:space="0" w:color="auto"/>
            </w:tcBorders>
            <w:shd w:val="clear" w:color="auto" w:fill="auto"/>
            <w:vAlign w:val="center"/>
          </w:tcPr>
          <w:p w14:paraId="32E4A7A7"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地（州、市）安排</w:t>
            </w:r>
          </w:p>
        </w:tc>
        <w:tc>
          <w:tcPr>
            <w:tcW w:w="1284" w:type="dxa"/>
            <w:tcBorders>
              <w:top w:val="nil"/>
              <w:left w:val="nil"/>
              <w:bottom w:val="single" w:sz="4" w:space="0" w:color="auto"/>
              <w:right w:val="single" w:sz="4" w:space="0" w:color="auto"/>
            </w:tcBorders>
            <w:shd w:val="clear" w:color="auto" w:fill="auto"/>
            <w:vAlign w:val="center"/>
          </w:tcPr>
          <w:p w14:paraId="09008225"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1104" w:type="dxa"/>
            <w:tcBorders>
              <w:top w:val="nil"/>
              <w:left w:val="nil"/>
              <w:bottom w:val="single" w:sz="4" w:space="0" w:color="auto"/>
              <w:right w:val="single" w:sz="4" w:space="0" w:color="auto"/>
            </w:tcBorders>
            <w:shd w:val="clear" w:color="auto" w:fill="auto"/>
            <w:vAlign w:val="center"/>
          </w:tcPr>
          <w:p w14:paraId="738D7C10"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1224" w:type="dxa"/>
            <w:tcBorders>
              <w:top w:val="nil"/>
              <w:left w:val="nil"/>
              <w:bottom w:val="single" w:sz="4" w:space="0" w:color="auto"/>
              <w:right w:val="single" w:sz="4" w:space="0" w:color="auto"/>
            </w:tcBorders>
            <w:shd w:val="clear" w:color="auto" w:fill="auto"/>
            <w:vAlign w:val="center"/>
          </w:tcPr>
          <w:p w14:paraId="15DD5B9D"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948" w:type="dxa"/>
            <w:tcBorders>
              <w:top w:val="nil"/>
              <w:left w:val="nil"/>
              <w:bottom w:val="single" w:sz="4" w:space="0" w:color="auto"/>
              <w:right w:val="single" w:sz="4" w:space="0" w:color="auto"/>
            </w:tcBorders>
            <w:shd w:val="clear" w:color="auto" w:fill="auto"/>
            <w:vAlign w:val="center"/>
          </w:tcPr>
          <w:p w14:paraId="68105BCB"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996" w:type="dxa"/>
            <w:tcBorders>
              <w:top w:val="nil"/>
              <w:left w:val="nil"/>
              <w:bottom w:val="single" w:sz="4" w:space="0" w:color="auto"/>
              <w:right w:val="single" w:sz="4" w:space="0" w:color="auto"/>
            </w:tcBorders>
            <w:shd w:val="clear" w:color="auto" w:fill="auto"/>
            <w:vAlign w:val="center"/>
          </w:tcPr>
          <w:p w14:paraId="569E58B5"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733" w:type="dxa"/>
            <w:tcBorders>
              <w:top w:val="nil"/>
              <w:left w:val="nil"/>
              <w:bottom w:val="single" w:sz="4" w:space="0" w:color="auto"/>
              <w:right w:val="single" w:sz="4" w:space="0" w:color="auto"/>
            </w:tcBorders>
            <w:shd w:val="clear" w:color="auto" w:fill="auto"/>
            <w:vAlign w:val="center"/>
          </w:tcPr>
          <w:p w14:paraId="13BDE90E"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r>
      <w:tr w:rsidR="0007722A" w14:paraId="38F18BC6" w14:textId="77777777">
        <w:trPr>
          <w:trHeight w:val="879"/>
          <w:jc w:val="center"/>
        </w:trPr>
        <w:tc>
          <w:tcPr>
            <w:tcW w:w="960" w:type="dxa"/>
            <w:vMerge/>
            <w:tcBorders>
              <w:top w:val="single" w:sz="4" w:space="0" w:color="auto"/>
              <w:left w:val="single" w:sz="4" w:space="0" w:color="auto"/>
              <w:bottom w:val="single" w:sz="4" w:space="0" w:color="auto"/>
              <w:right w:val="single" w:sz="4" w:space="0" w:color="auto"/>
            </w:tcBorders>
            <w:vAlign w:val="center"/>
          </w:tcPr>
          <w:p w14:paraId="2E614DAF" w14:textId="77777777" w:rsidR="0007722A" w:rsidRDefault="0007722A" w:rsidP="0007722A">
            <w:pPr>
              <w:widowControl/>
              <w:jc w:val="left"/>
              <w:rPr>
                <w:rFonts w:ascii="宋体" w:hAnsi="宋体" w:cs="宋体" w:hint="eastAsia"/>
                <w:kern w:val="0"/>
                <w:sz w:val="20"/>
                <w:szCs w:val="20"/>
              </w:rPr>
            </w:pPr>
          </w:p>
        </w:tc>
        <w:tc>
          <w:tcPr>
            <w:tcW w:w="1273" w:type="dxa"/>
            <w:tcBorders>
              <w:top w:val="nil"/>
              <w:left w:val="nil"/>
              <w:bottom w:val="single" w:sz="4" w:space="0" w:color="auto"/>
              <w:right w:val="single" w:sz="4" w:space="0" w:color="auto"/>
            </w:tcBorders>
            <w:shd w:val="clear" w:color="auto" w:fill="auto"/>
            <w:vAlign w:val="center"/>
          </w:tcPr>
          <w:p w14:paraId="65EDFC87" w14:textId="77777777" w:rsidR="0007722A" w:rsidRDefault="0007722A" w:rsidP="0007722A">
            <w:pPr>
              <w:widowControl/>
              <w:jc w:val="center"/>
              <w:rPr>
                <w:rFonts w:ascii="宋体" w:hAnsi="宋体" w:cs="宋体" w:hint="eastAsia"/>
                <w:kern w:val="0"/>
                <w:sz w:val="20"/>
                <w:szCs w:val="20"/>
              </w:rPr>
            </w:pPr>
            <w:r>
              <w:rPr>
                <w:rFonts w:ascii="宋体" w:hAnsi="宋体" w:cs="宋体" w:hint="eastAsia"/>
                <w:kern w:val="0"/>
                <w:sz w:val="20"/>
                <w:szCs w:val="20"/>
              </w:rPr>
              <w:t>县（市、区）安排</w:t>
            </w:r>
          </w:p>
        </w:tc>
        <w:tc>
          <w:tcPr>
            <w:tcW w:w="1284" w:type="dxa"/>
            <w:tcBorders>
              <w:top w:val="nil"/>
              <w:left w:val="nil"/>
              <w:bottom w:val="single" w:sz="4" w:space="0" w:color="auto"/>
              <w:right w:val="single" w:sz="4" w:space="0" w:color="auto"/>
            </w:tcBorders>
            <w:shd w:val="clear" w:color="auto" w:fill="auto"/>
            <w:vAlign w:val="center"/>
          </w:tcPr>
          <w:p w14:paraId="75FDAB98" w14:textId="77777777" w:rsidR="0007722A" w:rsidRDefault="0007722A" w:rsidP="0007722A">
            <w:pPr>
              <w:widowControl/>
              <w:jc w:val="center"/>
              <w:rPr>
                <w:rFonts w:ascii="宋体" w:hAnsi="宋体" w:cs="宋体" w:hint="eastAsia"/>
                <w:kern w:val="0"/>
                <w:sz w:val="20"/>
                <w:szCs w:val="20"/>
              </w:rPr>
            </w:pPr>
            <w:r>
              <w:rPr>
                <w:rFonts w:ascii="宋体" w:hAnsi="宋体" w:cs="宋体" w:hint="eastAsia"/>
                <w:kern w:val="0"/>
                <w:sz w:val="20"/>
                <w:szCs w:val="20"/>
              </w:rPr>
              <w:t>115.33</w:t>
            </w:r>
          </w:p>
        </w:tc>
        <w:tc>
          <w:tcPr>
            <w:tcW w:w="1104" w:type="dxa"/>
            <w:tcBorders>
              <w:top w:val="nil"/>
              <w:left w:val="nil"/>
              <w:bottom w:val="single" w:sz="4" w:space="0" w:color="auto"/>
              <w:right w:val="single" w:sz="4" w:space="0" w:color="auto"/>
            </w:tcBorders>
            <w:shd w:val="clear" w:color="auto" w:fill="auto"/>
            <w:vAlign w:val="center"/>
          </w:tcPr>
          <w:p w14:paraId="1FACDD48" w14:textId="77777777" w:rsidR="0007722A" w:rsidRDefault="0007722A" w:rsidP="0007722A">
            <w:pPr>
              <w:widowControl/>
              <w:jc w:val="center"/>
              <w:rPr>
                <w:rFonts w:ascii="宋体" w:hAnsi="宋体" w:cs="宋体" w:hint="eastAsia"/>
                <w:kern w:val="0"/>
                <w:sz w:val="20"/>
                <w:szCs w:val="20"/>
              </w:rPr>
            </w:pPr>
            <w:r>
              <w:rPr>
                <w:rFonts w:ascii="宋体" w:hAnsi="宋体" w:cs="宋体" w:hint="eastAsia"/>
                <w:kern w:val="0"/>
                <w:sz w:val="20"/>
                <w:szCs w:val="20"/>
              </w:rPr>
              <w:t>117.94</w:t>
            </w:r>
          </w:p>
        </w:tc>
        <w:tc>
          <w:tcPr>
            <w:tcW w:w="1224" w:type="dxa"/>
            <w:tcBorders>
              <w:top w:val="nil"/>
              <w:left w:val="nil"/>
              <w:bottom w:val="single" w:sz="4" w:space="0" w:color="auto"/>
              <w:right w:val="single" w:sz="4" w:space="0" w:color="auto"/>
            </w:tcBorders>
            <w:shd w:val="clear" w:color="auto" w:fill="auto"/>
            <w:vAlign w:val="center"/>
          </w:tcPr>
          <w:p w14:paraId="45B1DEC2" w14:textId="77777777" w:rsidR="0007722A" w:rsidRDefault="0007722A" w:rsidP="0007722A">
            <w:pPr>
              <w:widowControl/>
              <w:jc w:val="center"/>
              <w:rPr>
                <w:rFonts w:ascii="宋体" w:hAnsi="宋体" w:cs="宋体" w:hint="eastAsia"/>
                <w:kern w:val="0"/>
                <w:sz w:val="20"/>
                <w:szCs w:val="20"/>
              </w:rPr>
            </w:pPr>
            <w:r>
              <w:rPr>
                <w:rFonts w:ascii="宋体" w:hAnsi="宋体" w:cs="宋体" w:hint="eastAsia"/>
                <w:kern w:val="0"/>
                <w:sz w:val="20"/>
                <w:szCs w:val="20"/>
              </w:rPr>
              <w:t>117.94</w:t>
            </w:r>
          </w:p>
        </w:tc>
        <w:tc>
          <w:tcPr>
            <w:tcW w:w="948" w:type="dxa"/>
            <w:tcBorders>
              <w:top w:val="nil"/>
              <w:left w:val="nil"/>
              <w:bottom w:val="single" w:sz="4" w:space="0" w:color="auto"/>
              <w:right w:val="single" w:sz="4" w:space="0" w:color="auto"/>
            </w:tcBorders>
            <w:shd w:val="clear" w:color="auto" w:fill="auto"/>
            <w:vAlign w:val="center"/>
          </w:tcPr>
          <w:p w14:paraId="53BB9CE1" w14:textId="07A28626" w:rsidR="0007722A" w:rsidRDefault="0007722A" w:rsidP="0007722A">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996" w:type="dxa"/>
            <w:tcBorders>
              <w:top w:val="nil"/>
              <w:left w:val="nil"/>
              <w:bottom w:val="single" w:sz="4" w:space="0" w:color="auto"/>
              <w:right w:val="single" w:sz="4" w:space="0" w:color="auto"/>
            </w:tcBorders>
            <w:shd w:val="clear" w:color="auto" w:fill="auto"/>
            <w:vAlign w:val="center"/>
          </w:tcPr>
          <w:p w14:paraId="5F7E4CDC" w14:textId="244D0BCD" w:rsidR="0007722A" w:rsidRDefault="0007722A" w:rsidP="0007722A">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733" w:type="dxa"/>
            <w:tcBorders>
              <w:top w:val="nil"/>
              <w:left w:val="nil"/>
              <w:bottom w:val="single" w:sz="4" w:space="0" w:color="auto"/>
              <w:right w:val="single" w:sz="4" w:space="0" w:color="auto"/>
            </w:tcBorders>
            <w:shd w:val="clear" w:color="auto" w:fill="auto"/>
            <w:vAlign w:val="center"/>
          </w:tcPr>
          <w:p w14:paraId="0B578E0F" w14:textId="066B0BDE" w:rsidR="0007722A" w:rsidRDefault="0007722A" w:rsidP="0007722A">
            <w:pPr>
              <w:widowControl/>
              <w:jc w:val="center"/>
              <w:rPr>
                <w:rFonts w:ascii="宋体" w:hAnsi="宋体" w:cs="宋体" w:hint="eastAsia"/>
                <w:kern w:val="0"/>
                <w:sz w:val="20"/>
                <w:szCs w:val="20"/>
              </w:rPr>
            </w:pPr>
            <w:r>
              <w:rPr>
                <w:rFonts w:ascii="宋体" w:hAnsi="宋体" w:cs="宋体" w:hint="eastAsia"/>
                <w:kern w:val="0"/>
                <w:sz w:val="20"/>
                <w:szCs w:val="20"/>
              </w:rPr>
              <w:t>-</w:t>
            </w:r>
          </w:p>
        </w:tc>
      </w:tr>
      <w:tr w:rsidR="0007722A" w14:paraId="7F30AC5A" w14:textId="77777777">
        <w:trPr>
          <w:trHeight w:val="879"/>
          <w:jc w:val="center"/>
        </w:trPr>
        <w:tc>
          <w:tcPr>
            <w:tcW w:w="960" w:type="dxa"/>
            <w:vMerge/>
            <w:tcBorders>
              <w:top w:val="single" w:sz="4" w:space="0" w:color="auto"/>
              <w:left w:val="single" w:sz="4" w:space="0" w:color="auto"/>
              <w:bottom w:val="single" w:sz="4" w:space="0" w:color="auto"/>
              <w:right w:val="single" w:sz="4" w:space="0" w:color="auto"/>
            </w:tcBorders>
            <w:vAlign w:val="center"/>
          </w:tcPr>
          <w:p w14:paraId="258BF8DB" w14:textId="77777777" w:rsidR="0007722A" w:rsidRDefault="0007722A" w:rsidP="0007722A">
            <w:pPr>
              <w:widowControl/>
              <w:jc w:val="left"/>
              <w:rPr>
                <w:rFonts w:ascii="宋体" w:hAnsi="宋体" w:cs="宋体" w:hint="eastAsia"/>
                <w:kern w:val="0"/>
                <w:sz w:val="20"/>
                <w:szCs w:val="20"/>
              </w:rPr>
            </w:pPr>
          </w:p>
        </w:tc>
        <w:tc>
          <w:tcPr>
            <w:tcW w:w="1273" w:type="dxa"/>
            <w:tcBorders>
              <w:top w:val="nil"/>
              <w:left w:val="nil"/>
              <w:bottom w:val="single" w:sz="4" w:space="0" w:color="auto"/>
              <w:right w:val="single" w:sz="4" w:space="0" w:color="auto"/>
            </w:tcBorders>
            <w:shd w:val="clear" w:color="auto" w:fill="auto"/>
            <w:vAlign w:val="center"/>
          </w:tcPr>
          <w:p w14:paraId="05D6BFCE" w14:textId="77777777" w:rsidR="0007722A" w:rsidRDefault="0007722A" w:rsidP="0007722A">
            <w:pPr>
              <w:widowControl/>
              <w:jc w:val="center"/>
              <w:rPr>
                <w:rFonts w:ascii="宋体" w:hAnsi="宋体" w:cs="宋体" w:hint="eastAsia"/>
                <w:kern w:val="0"/>
                <w:sz w:val="20"/>
                <w:szCs w:val="20"/>
              </w:rPr>
            </w:pPr>
            <w:r>
              <w:rPr>
                <w:rFonts w:ascii="宋体" w:hAnsi="宋体" w:cs="宋体" w:hint="eastAsia"/>
                <w:kern w:val="0"/>
                <w:sz w:val="20"/>
                <w:szCs w:val="20"/>
              </w:rPr>
              <w:t>其他资金</w:t>
            </w:r>
          </w:p>
        </w:tc>
        <w:tc>
          <w:tcPr>
            <w:tcW w:w="1284" w:type="dxa"/>
            <w:tcBorders>
              <w:top w:val="nil"/>
              <w:left w:val="nil"/>
              <w:bottom w:val="single" w:sz="4" w:space="0" w:color="auto"/>
              <w:right w:val="single" w:sz="4" w:space="0" w:color="auto"/>
            </w:tcBorders>
            <w:shd w:val="clear" w:color="auto" w:fill="auto"/>
            <w:vAlign w:val="center"/>
          </w:tcPr>
          <w:p w14:paraId="1A88F7F0" w14:textId="77777777" w:rsidR="0007722A" w:rsidRDefault="0007722A" w:rsidP="0007722A">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1104" w:type="dxa"/>
            <w:tcBorders>
              <w:top w:val="nil"/>
              <w:left w:val="nil"/>
              <w:bottom w:val="single" w:sz="4" w:space="0" w:color="auto"/>
              <w:right w:val="single" w:sz="4" w:space="0" w:color="auto"/>
            </w:tcBorders>
            <w:shd w:val="clear" w:color="auto" w:fill="auto"/>
            <w:vAlign w:val="center"/>
          </w:tcPr>
          <w:p w14:paraId="139C6B36" w14:textId="77777777" w:rsidR="0007722A" w:rsidRDefault="0007722A" w:rsidP="0007722A">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1224" w:type="dxa"/>
            <w:tcBorders>
              <w:top w:val="nil"/>
              <w:left w:val="nil"/>
              <w:bottom w:val="single" w:sz="4" w:space="0" w:color="auto"/>
              <w:right w:val="single" w:sz="4" w:space="0" w:color="auto"/>
            </w:tcBorders>
            <w:shd w:val="clear" w:color="auto" w:fill="auto"/>
            <w:vAlign w:val="center"/>
          </w:tcPr>
          <w:p w14:paraId="72C9B2DB" w14:textId="77777777" w:rsidR="0007722A" w:rsidRDefault="0007722A" w:rsidP="0007722A">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948" w:type="dxa"/>
            <w:tcBorders>
              <w:top w:val="nil"/>
              <w:left w:val="nil"/>
              <w:bottom w:val="single" w:sz="4" w:space="0" w:color="auto"/>
              <w:right w:val="single" w:sz="4" w:space="0" w:color="auto"/>
            </w:tcBorders>
            <w:shd w:val="clear" w:color="auto" w:fill="auto"/>
            <w:vAlign w:val="center"/>
          </w:tcPr>
          <w:p w14:paraId="3EDF7D43" w14:textId="13C5180B" w:rsidR="0007722A" w:rsidRDefault="0007722A" w:rsidP="0007722A">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996" w:type="dxa"/>
            <w:tcBorders>
              <w:top w:val="nil"/>
              <w:left w:val="nil"/>
              <w:bottom w:val="single" w:sz="4" w:space="0" w:color="auto"/>
              <w:right w:val="single" w:sz="4" w:space="0" w:color="auto"/>
            </w:tcBorders>
            <w:shd w:val="clear" w:color="auto" w:fill="auto"/>
            <w:vAlign w:val="center"/>
          </w:tcPr>
          <w:p w14:paraId="1ED53701" w14:textId="7FB5AFA1" w:rsidR="0007722A" w:rsidRDefault="0007722A" w:rsidP="0007722A">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733" w:type="dxa"/>
            <w:tcBorders>
              <w:top w:val="nil"/>
              <w:left w:val="nil"/>
              <w:bottom w:val="single" w:sz="4" w:space="0" w:color="auto"/>
              <w:right w:val="single" w:sz="4" w:space="0" w:color="auto"/>
            </w:tcBorders>
            <w:shd w:val="clear" w:color="auto" w:fill="auto"/>
            <w:vAlign w:val="center"/>
          </w:tcPr>
          <w:p w14:paraId="74ABD5A9" w14:textId="7012C384" w:rsidR="0007722A" w:rsidRDefault="0007722A" w:rsidP="0007722A">
            <w:pPr>
              <w:widowControl/>
              <w:jc w:val="center"/>
              <w:rPr>
                <w:rFonts w:ascii="宋体" w:hAnsi="宋体" w:cs="宋体" w:hint="eastAsia"/>
                <w:kern w:val="0"/>
                <w:sz w:val="20"/>
                <w:szCs w:val="20"/>
              </w:rPr>
            </w:pPr>
            <w:r>
              <w:rPr>
                <w:rFonts w:ascii="宋体" w:hAnsi="宋体" w:cs="宋体" w:hint="eastAsia"/>
                <w:kern w:val="0"/>
                <w:sz w:val="20"/>
                <w:szCs w:val="20"/>
              </w:rPr>
              <w:t>-</w:t>
            </w:r>
          </w:p>
        </w:tc>
      </w:tr>
      <w:tr w:rsidR="00BA7812" w14:paraId="6B8FC943" w14:textId="77777777">
        <w:trPr>
          <w:trHeight w:val="879"/>
          <w:jc w:val="center"/>
        </w:trPr>
        <w:tc>
          <w:tcPr>
            <w:tcW w:w="960" w:type="dxa"/>
            <w:vMerge/>
            <w:tcBorders>
              <w:top w:val="single" w:sz="4" w:space="0" w:color="auto"/>
              <w:left w:val="single" w:sz="4" w:space="0" w:color="auto"/>
              <w:bottom w:val="single" w:sz="4" w:space="0" w:color="auto"/>
              <w:right w:val="single" w:sz="4" w:space="0" w:color="auto"/>
            </w:tcBorders>
            <w:vAlign w:val="center"/>
          </w:tcPr>
          <w:p w14:paraId="0950F18F" w14:textId="77777777" w:rsidR="00BA7812" w:rsidRDefault="00BA7812">
            <w:pPr>
              <w:widowControl/>
              <w:jc w:val="left"/>
              <w:rPr>
                <w:rFonts w:ascii="宋体" w:hAnsi="宋体" w:cs="宋体" w:hint="eastAsia"/>
                <w:kern w:val="0"/>
                <w:sz w:val="20"/>
                <w:szCs w:val="20"/>
              </w:rPr>
            </w:pPr>
          </w:p>
        </w:tc>
        <w:tc>
          <w:tcPr>
            <w:tcW w:w="1273" w:type="dxa"/>
            <w:tcBorders>
              <w:top w:val="nil"/>
              <w:left w:val="nil"/>
              <w:bottom w:val="single" w:sz="4" w:space="0" w:color="auto"/>
              <w:right w:val="single" w:sz="4" w:space="0" w:color="auto"/>
            </w:tcBorders>
            <w:shd w:val="clear" w:color="auto" w:fill="auto"/>
            <w:vAlign w:val="center"/>
          </w:tcPr>
          <w:p w14:paraId="014FADFB"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合计</w:t>
            </w:r>
          </w:p>
        </w:tc>
        <w:tc>
          <w:tcPr>
            <w:tcW w:w="1284" w:type="dxa"/>
            <w:tcBorders>
              <w:top w:val="nil"/>
              <w:left w:val="nil"/>
              <w:bottom w:val="single" w:sz="4" w:space="0" w:color="auto"/>
              <w:right w:val="single" w:sz="4" w:space="0" w:color="auto"/>
            </w:tcBorders>
            <w:shd w:val="clear" w:color="auto" w:fill="auto"/>
            <w:vAlign w:val="center"/>
          </w:tcPr>
          <w:p w14:paraId="68D21E0B"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115.33</w:t>
            </w:r>
          </w:p>
        </w:tc>
        <w:tc>
          <w:tcPr>
            <w:tcW w:w="1104" w:type="dxa"/>
            <w:tcBorders>
              <w:top w:val="nil"/>
              <w:left w:val="nil"/>
              <w:bottom w:val="single" w:sz="4" w:space="0" w:color="auto"/>
              <w:right w:val="single" w:sz="4" w:space="0" w:color="auto"/>
            </w:tcBorders>
            <w:shd w:val="clear" w:color="auto" w:fill="auto"/>
            <w:vAlign w:val="center"/>
          </w:tcPr>
          <w:p w14:paraId="5FD77E1D" w14:textId="77777777" w:rsidR="00BA7812" w:rsidRDefault="00000000">
            <w:pPr>
              <w:widowControl/>
              <w:jc w:val="center"/>
              <w:rPr>
                <w:rFonts w:ascii="宋体" w:hAnsi="宋体" w:cs="宋体" w:hint="eastAsia"/>
                <w:kern w:val="0"/>
                <w:sz w:val="20"/>
                <w:szCs w:val="20"/>
              </w:rPr>
            </w:pPr>
            <w:bookmarkStart w:id="30" w:name="_Hlk174752862"/>
            <w:r>
              <w:rPr>
                <w:rFonts w:ascii="宋体" w:hAnsi="宋体" w:cs="宋体" w:hint="eastAsia"/>
                <w:kern w:val="0"/>
                <w:sz w:val="20"/>
                <w:szCs w:val="20"/>
              </w:rPr>
              <w:t>117.94</w:t>
            </w:r>
            <w:bookmarkEnd w:id="30"/>
          </w:p>
        </w:tc>
        <w:tc>
          <w:tcPr>
            <w:tcW w:w="1224" w:type="dxa"/>
            <w:tcBorders>
              <w:top w:val="nil"/>
              <w:left w:val="nil"/>
              <w:bottom w:val="single" w:sz="4" w:space="0" w:color="auto"/>
              <w:right w:val="single" w:sz="4" w:space="0" w:color="auto"/>
            </w:tcBorders>
            <w:shd w:val="clear" w:color="auto" w:fill="auto"/>
            <w:vAlign w:val="center"/>
          </w:tcPr>
          <w:p w14:paraId="690DF5F9"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117.94</w:t>
            </w:r>
          </w:p>
        </w:tc>
        <w:tc>
          <w:tcPr>
            <w:tcW w:w="948" w:type="dxa"/>
            <w:tcBorders>
              <w:top w:val="nil"/>
              <w:left w:val="nil"/>
              <w:bottom w:val="single" w:sz="4" w:space="0" w:color="auto"/>
              <w:right w:val="single" w:sz="4" w:space="0" w:color="auto"/>
            </w:tcBorders>
            <w:shd w:val="clear" w:color="auto" w:fill="auto"/>
            <w:vAlign w:val="center"/>
          </w:tcPr>
          <w:p w14:paraId="57A250AF"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996" w:type="dxa"/>
            <w:tcBorders>
              <w:top w:val="nil"/>
              <w:left w:val="nil"/>
              <w:bottom w:val="single" w:sz="4" w:space="0" w:color="auto"/>
              <w:right w:val="single" w:sz="4" w:space="0" w:color="auto"/>
            </w:tcBorders>
            <w:shd w:val="clear" w:color="auto" w:fill="auto"/>
            <w:vAlign w:val="center"/>
          </w:tcPr>
          <w:p w14:paraId="08FE33C0"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733" w:type="dxa"/>
            <w:tcBorders>
              <w:top w:val="nil"/>
              <w:left w:val="nil"/>
              <w:bottom w:val="single" w:sz="4" w:space="0" w:color="auto"/>
              <w:right w:val="single" w:sz="4" w:space="0" w:color="auto"/>
            </w:tcBorders>
            <w:shd w:val="clear" w:color="auto" w:fill="auto"/>
            <w:vAlign w:val="center"/>
          </w:tcPr>
          <w:p w14:paraId="1B140EFD"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r>
      <w:tr w:rsidR="00BA7812" w14:paraId="13B51334" w14:textId="77777777">
        <w:trPr>
          <w:trHeight w:val="705"/>
          <w:jc w:val="center"/>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62908E1"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年度总体目标</w:t>
            </w:r>
          </w:p>
        </w:tc>
        <w:tc>
          <w:tcPr>
            <w:tcW w:w="3661" w:type="dxa"/>
            <w:gridSpan w:val="3"/>
            <w:tcBorders>
              <w:top w:val="single" w:sz="4" w:space="0" w:color="auto"/>
              <w:left w:val="nil"/>
              <w:bottom w:val="single" w:sz="4" w:space="0" w:color="auto"/>
              <w:right w:val="single" w:sz="4" w:space="0" w:color="auto"/>
            </w:tcBorders>
            <w:shd w:val="clear" w:color="auto" w:fill="auto"/>
            <w:noWrap/>
            <w:vAlign w:val="center"/>
          </w:tcPr>
          <w:p w14:paraId="6F4644D3"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预期目标</w:t>
            </w:r>
          </w:p>
        </w:tc>
        <w:tc>
          <w:tcPr>
            <w:tcW w:w="3901" w:type="dxa"/>
            <w:gridSpan w:val="4"/>
            <w:tcBorders>
              <w:top w:val="single" w:sz="4" w:space="0" w:color="auto"/>
              <w:left w:val="nil"/>
              <w:bottom w:val="single" w:sz="4" w:space="0" w:color="auto"/>
              <w:right w:val="single" w:sz="4" w:space="0" w:color="auto"/>
            </w:tcBorders>
            <w:shd w:val="clear" w:color="auto" w:fill="auto"/>
            <w:noWrap/>
            <w:vAlign w:val="center"/>
          </w:tcPr>
          <w:p w14:paraId="75CB4F7B"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实际完成情况</w:t>
            </w:r>
          </w:p>
        </w:tc>
      </w:tr>
      <w:tr w:rsidR="00BA7812" w14:paraId="7DDEB9E6" w14:textId="77777777">
        <w:trPr>
          <w:trHeight w:val="2001"/>
          <w:jc w:val="center"/>
        </w:trPr>
        <w:tc>
          <w:tcPr>
            <w:tcW w:w="960" w:type="dxa"/>
            <w:vMerge/>
            <w:tcBorders>
              <w:top w:val="single" w:sz="4" w:space="0" w:color="auto"/>
              <w:left w:val="single" w:sz="4" w:space="0" w:color="auto"/>
              <w:bottom w:val="single" w:sz="4" w:space="0" w:color="auto"/>
              <w:right w:val="single" w:sz="4" w:space="0" w:color="auto"/>
            </w:tcBorders>
            <w:vAlign w:val="center"/>
          </w:tcPr>
          <w:p w14:paraId="24AE6C90" w14:textId="77777777" w:rsidR="00BA7812" w:rsidRDefault="00BA7812">
            <w:pPr>
              <w:widowControl/>
              <w:jc w:val="left"/>
              <w:rPr>
                <w:rFonts w:ascii="宋体" w:hAnsi="宋体" w:cs="宋体" w:hint="eastAsia"/>
                <w:kern w:val="0"/>
                <w:sz w:val="20"/>
                <w:szCs w:val="20"/>
              </w:rPr>
            </w:pPr>
          </w:p>
        </w:tc>
        <w:tc>
          <w:tcPr>
            <w:tcW w:w="3661" w:type="dxa"/>
            <w:gridSpan w:val="3"/>
            <w:tcBorders>
              <w:top w:val="single" w:sz="4" w:space="0" w:color="auto"/>
              <w:left w:val="nil"/>
              <w:bottom w:val="single" w:sz="4" w:space="0" w:color="auto"/>
              <w:right w:val="single" w:sz="4" w:space="0" w:color="auto"/>
            </w:tcBorders>
            <w:shd w:val="clear" w:color="auto" w:fill="auto"/>
            <w:vAlign w:val="center"/>
          </w:tcPr>
          <w:p w14:paraId="52878C67"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目标1：保障完成全年党的建设工作。</w:t>
            </w:r>
            <w:r>
              <w:rPr>
                <w:rFonts w:ascii="宋体" w:hAnsi="宋体" w:cs="宋体" w:hint="eastAsia"/>
                <w:kern w:val="0"/>
                <w:sz w:val="20"/>
                <w:szCs w:val="20"/>
              </w:rPr>
              <w:br/>
            </w:r>
            <w:r>
              <w:rPr>
                <w:rFonts w:ascii="宋体" w:hAnsi="宋体" w:cs="宋体" w:hint="eastAsia"/>
                <w:kern w:val="0"/>
                <w:sz w:val="20"/>
                <w:szCs w:val="20"/>
              </w:rPr>
              <w:br/>
              <w:t>目标2：结合“五好党支部”创建完成县直机关每季度1次，全年4次党建例会。</w:t>
            </w:r>
            <w:r>
              <w:rPr>
                <w:rFonts w:ascii="宋体" w:hAnsi="宋体" w:cs="宋体" w:hint="eastAsia"/>
                <w:kern w:val="0"/>
                <w:sz w:val="20"/>
                <w:szCs w:val="20"/>
              </w:rPr>
              <w:br/>
            </w:r>
            <w:r>
              <w:rPr>
                <w:rFonts w:ascii="宋体" w:hAnsi="宋体" w:cs="宋体" w:hint="eastAsia"/>
                <w:kern w:val="0"/>
                <w:sz w:val="20"/>
                <w:szCs w:val="20"/>
              </w:rPr>
              <w:br/>
              <w:t>目标3：完成县直各级党组织全年50个预备党员纳新工作。</w:t>
            </w:r>
          </w:p>
        </w:tc>
        <w:tc>
          <w:tcPr>
            <w:tcW w:w="3901" w:type="dxa"/>
            <w:gridSpan w:val="4"/>
            <w:tcBorders>
              <w:top w:val="single" w:sz="4" w:space="0" w:color="auto"/>
              <w:left w:val="nil"/>
              <w:bottom w:val="single" w:sz="4" w:space="0" w:color="auto"/>
              <w:right w:val="single" w:sz="4" w:space="0" w:color="auto"/>
            </w:tcBorders>
            <w:shd w:val="clear" w:color="auto" w:fill="auto"/>
            <w:vAlign w:val="center"/>
          </w:tcPr>
          <w:p w14:paraId="35223F2F"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截止2024年部门整体自评，我单位已完成如下工作：保障办公人员数量7人，公务用车保障数量1辆，圆满完成全年党的建设工作任务；结合“五好党支部”创建完成县直机关每季度1次，全年4次党建例会。完成县直各级党组织全年50个预备党员纳新工作。</w:t>
            </w:r>
          </w:p>
        </w:tc>
      </w:tr>
      <w:tr w:rsidR="00BA7812" w14:paraId="12F17BB8" w14:textId="77777777">
        <w:trPr>
          <w:trHeight w:val="579"/>
          <w:jc w:val="center"/>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648EA5DD"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一级指标</w:t>
            </w:r>
          </w:p>
        </w:tc>
        <w:tc>
          <w:tcPr>
            <w:tcW w:w="1273" w:type="dxa"/>
            <w:tcBorders>
              <w:top w:val="nil"/>
              <w:left w:val="nil"/>
              <w:bottom w:val="single" w:sz="4" w:space="0" w:color="auto"/>
              <w:right w:val="single" w:sz="4" w:space="0" w:color="auto"/>
            </w:tcBorders>
            <w:shd w:val="clear" w:color="auto" w:fill="auto"/>
            <w:vAlign w:val="center"/>
          </w:tcPr>
          <w:p w14:paraId="4F7DEC1F"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二级指标</w:t>
            </w:r>
          </w:p>
        </w:tc>
        <w:tc>
          <w:tcPr>
            <w:tcW w:w="1284" w:type="dxa"/>
            <w:tcBorders>
              <w:top w:val="nil"/>
              <w:left w:val="nil"/>
              <w:bottom w:val="single" w:sz="4" w:space="0" w:color="auto"/>
              <w:right w:val="single" w:sz="4" w:space="0" w:color="auto"/>
            </w:tcBorders>
            <w:shd w:val="clear" w:color="auto" w:fill="auto"/>
            <w:vAlign w:val="center"/>
          </w:tcPr>
          <w:p w14:paraId="2CD83D20"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三级指标</w:t>
            </w:r>
          </w:p>
        </w:tc>
        <w:tc>
          <w:tcPr>
            <w:tcW w:w="1104" w:type="dxa"/>
            <w:tcBorders>
              <w:top w:val="nil"/>
              <w:left w:val="nil"/>
              <w:bottom w:val="single" w:sz="4" w:space="0" w:color="auto"/>
              <w:right w:val="single" w:sz="4" w:space="0" w:color="auto"/>
            </w:tcBorders>
            <w:shd w:val="clear" w:color="auto" w:fill="auto"/>
            <w:vAlign w:val="center"/>
          </w:tcPr>
          <w:p w14:paraId="7EADC29F"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预期指标值</w:t>
            </w:r>
          </w:p>
        </w:tc>
        <w:tc>
          <w:tcPr>
            <w:tcW w:w="1224" w:type="dxa"/>
            <w:tcBorders>
              <w:top w:val="nil"/>
              <w:left w:val="nil"/>
              <w:bottom w:val="single" w:sz="4" w:space="0" w:color="auto"/>
              <w:right w:val="single" w:sz="4" w:space="0" w:color="auto"/>
            </w:tcBorders>
            <w:shd w:val="clear" w:color="auto" w:fill="auto"/>
            <w:vAlign w:val="center"/>
          </w:tcPr>
          <w:p w14:paraId="6B105155"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指标值设定依据</w:t>
            </w:r>
          </w:p>
        </w:tc>
        <w:tc>
          <w:tcPr>
            <w:tcW w:w="948" w:type="dxa"/>
            <w:tcBorders>
              <w:top w:val="nil"/>
              <w:left w:val="nil"/>
              <w:bottom w:val="single" w:sz="4" w:space="0" w:color="auto"/>
              <w:right w:val="single" w:sz="4" w:space="0" w:color="auto"/>
            </w:tcBorders>
            <w:shd w:val="clear" w:color="auto" w:fill="auto"/>
            <w:vAlign w:val="center"/>
          </w:tcPr>
          <w:p w14:paraId="6C0D2895"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分值权重</w:t>
            </w:r>
          </w:p>
        </w:tc>
        <w:tc>
          <w:tcPr>
            <w:tcW w:w="996" w:type="dxa"/>
            <w:tcBorders>
              <w:top w:val="nil"/>
              <w:left w:val="nil"/>
              <w:bottom w:val="single" w:sz="4" w:space="0" w:color="auto"/>
              <w:right w:val="single" w:sz="4" w:space="0" w:color="auto"/>
            </w:tcBorders>
            <w:shd w:val="clear" w:color="auto" w:fill="auto"/>
            <w:vAlign w:val="center"/>
          </w:tcPr>
          <w:p w14:paraId="4FDABBF6"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实际完成指标值</w:t>
            </w:r>
          </w:p>
        </w:tc>
        <w:tc>
          <w:tcPr>
            <w:tcW w:w="733" w:type="dxa"/>
            <w:tcBorders>
              <w:top w:val="nil"/>
              <w:left w:val="nil"/>
              <w:bottom w:val="single" w:sz="4" w:space="0" w:color="auto"/>
              <w:right w:val="single" w:sz="4" w:space="0" w:color="auto"/>
            </w:tcBorders>
            <w:shd w:val="clear" w:color="auto" w:fill="auto"/>
            <w:vAlign w:val="center"/>
          </w:tcPr>
          <w:p w14:paraId="1569B27F"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得分</w:t>
            </w:r>
          </w:p>
        </w:tc>
      </w:tr>
      <w:tr w:rsidR="00BA7812" w14:paraId="1D19CA96" w14:textId="77777777">
        <w:trPr>
          <w:trHeight w:val="741"/>
          <w:jc w:val="center"/>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524038E"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运行成本</w:t>
            </w:r>
          </w:p>
        </w:tc>
        <w:tc>
          <w:tcPr>
            <w:tcW w:w="1273" w:type="dxa"/>
            <w:vMerge w:val="restart"/>
            <w:tcBorders>
              <w:top w:val="nil"/>
              <w:left w:val="single" w:sz="4" w:space="0" w:color="auto"/>
              <w:bottom w:val="single" w:sz="4" w:space="0" w:color="auto"/>
              <w:right w:val="single" w:sz="4" w:space="0" w:color="auto"/>
            </w:tcBorders>
            <w:shd w:val="clear" w:color="auto" w:fill="auto"/>
            <w:vAlign w:val="center"/>
          </w:tcPr>
          <w:p w14:paraId="61A943E3"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数量指标</w:t>
            </w:r>
          </w:p>
        </w:tc>
        <w:tc>
          <w:tcPr>
            <w:tcW w:w="1284" w:type="dxa"/>
            <w:tcBorders>
              <w:top w:val="nil"/>
              <w:left w:val="nil"/>
              <w:bottom w:val="single" w:sz="4" w:space="0" w:color="auto"/>
              <w:right w:val="single" w:sz="4" w:space="0" w:color="auto"/>
            </w:tcBorders>
            <w:shd w:val="clear" w:color="auto" w:fill="auto"/>
            <w:vAlign w:val="center"/>
          </w:tcPr>
          <w:p w14:paraId="359E4B7C"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保障办公人员数量</w:t>
            </w:r>
          </w:p>
        </w:tc>
        <w:tc>
          <w:tcPr>
            <w:tcW w:w="1104" w:type="dxa"/>
            <w:tcBorders>
              <w:top w:val="nil"/>
              <w:left w:val="nil"/>
              <w:bottom w:val="single" w:sz="4" w:space="0" w:color="auto"/>
              <w:right w:val="single" w:sz="4" w:space="0" w:color="auto"/>
            </w:tcBorders>
            <w:shd w:val="clear" w:color="auto" w:fill="auto"/>
            <w:vAlign w:val="center"/>
          </w:tcPr>
          <w:p w14:paraId="14C29CBB"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&gt;=7人</w:t>
            </w:r>
          </w:p>
        </w:tc>
        <w:tc>
          <w:tcPr>
            <w:tcW w:w="1224" w:type="dxa"/>
            <w:tcBorders>
              <w:top w:val="nil"/>
              <w:left w:val="nil"/>
              <w:bottom w:val="single" w:sz="4" w:space="0" w:color="auto"/>
              <w:right w:val="single" w:sz="4" w:space="0" w:color="auto"/>
            </w:tcBorders>
            <w:shd w:val="clear" w:color="auto" w:fill="auto"/>
            <w:vAlign w:val="center"/>
          </w:tcPr>
          <w:p w14:paraId="09036CC2"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木垒县哈萨克自治县委员会直属机</w:t>
            </w:r>
            <w:r>
              <w:rPr>
                <w:rFonts w:ascii="宋体" w:hAnsi="宋体" w:cs="宋体" w:hint="eastAsia"/>
                <w:kern w:val="0"/>
                <w:sz w:val="20"/>
                <w:szCs w:val="20"/>
              </w:rPr>
              <w:lastRenderedPageBreak/>
              <w:t>关工作委员会职能配置、内设机构和人员编制规定</w:t>
            </w:r>
          </w:p>
        </w:tc>
        <w:tc>
          <w:tcPr>
            <w:tcW w:w="948" w:type="dxa"/>
            <w:tcBorders>
              <w:top w:val="nil"/>
              <w:left w:val="nil"/>
              <w:bottom w:val="single" w:sz="4" w:space="0" w:color="auto"/>
              <w:right w:val="single" w:sz="4" w:space="0" w:color="auto"/>
            </w:tcBorders>
            <w:shd w:val="clear" w:color="auto" w:fill="auto"/>
            <w:vAlign w:val="center"/>
          </w:tcPr>
          <w:p w14:paraId="636FF224"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lastRenderedPageBreak/>
              <w:t>5</w:t>
            </w:r>
          </w:p>
        </w:tc>
        <w:tc>
          <w:tcPr>
            <w:tcW w:w="996" w:type="dxa"/>
            <w:tcBorders>
              <w:top w:val="nil"/>
              <w:left w:val="nil"/>
              <w:bottom w:val="single" w:sz="4" w:space="0" w:color="auto"/>
              <w:right w:val="single" w:sz="4" w:space="0" w:color="auto"/>
            </w:tcBorders>
            <w:shd w:val="clear" w:color="auto" w:fill="auto"/>
            <w:vAlign w:val="center"/>
          </w:tcPr>
          <w:p w14:paraId="58A93A99"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7人</w:t>
            </w:r>
          </w:p>
        </w:tc>
        <w:tc>
          <w:tcPr>
            <w:tcW w:w="733" w:type="dxa"/>
            <w:tcBorders>
              <w:top w:val="nil"/>
              <w:left w:val="nil"/>
              <w:bottom w:val="single" w:sz="4" w:space="0" w:color="auto"/>
              <w:right w:val="single" w:sz="4" w:space="0" w:color="auto"/>
            </w:tcBorders>
            <w:shd w:val="clear" w:color="auto" w:fill="auto"/>
            <w:vAlign w:val="center"/>
          </w:tcPr>
          <w:p w14:paraId="6F39F285"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5</w:t>
            </w:r>
          </w:p>
        </w:tc>
      </w:tr>
      <w:tr w:rsidR="00BA7812" w14:paraId="5A8B57AC" w14:textId="77777777">
        <w:trPr>
          <w:trHeight w:val="741"/>
          <w:jc w:val="center"/>
        </w:trPr>
        <w:tc>
          <w:tcPr>
            <w:tcW w:w="960" w:type="dxa"/>
            <w:vMerge/>
            <w:tcBorders>
              <w:top w:val="single" w:sz="4" w:space="0" w:color="auto"/>
              <w:left w:val="single" w:sz="4" w:space="0" w:color="auto"/>
              <w:bottom w:val="single" w:sz="4" w:space="0" w:color="auto"/>
              <w:right w:val="single" w:sz="4" w:space="0" w:color="auto"/>
            </w:tcBorders>
            <w:vAlign w:val="center"/>
          </w:tcPr>
          <w:p w14:paraId="017D901F" w14:textId="77777777" w:rsidR="00BA7812" w:rsidRDefault="00BA7812">
            <w:pPr>
              <w:widowControl/>
              <w:jc w:val="left"/>
              <w:rPr>
                <w:rFonts w:ascii="宋体" w:hAnsi="宋体" w:cs="宋体" w:hint="eastAsia"/>
                <w:kern w:val="0"/>
                <w:sz w:val="20"/>
                <w:szCs w:val="20"/>
              </w:rPr>
            </w:pPr>
          </w:p>
        </w:tc>
        <w:tc>
          <w:tcPr>
            <w:tcW w:w="1273" w:type="dxa"/>
            <w:vMerge/>
            <w:tcBorders>
              <w:top w:val="nil"/>
              <w:left w:val="single" w:sz="4" w:space="0" w:color="auto"/>
              <w:bottom w:val="single" w:sz="4" w:space="0" w:color="auto"/>
              <w:right w:val="single" w:sz="4" w:space="0" w:color="auto"/>
            </w:tcBorders>
            <w:vAlign w:val="center"/>
          </w:tcPr>
          <w:p w14:paraId="490EAE82" w14:textId="77777777" w:rsidR="00BA7812" w:rsidRDefault="00BA7812">
            <w:pPr>
              <w:widowControl/>
              <w:jc w:val="left"/>
              <w:rPr>
                <w:rFonts w:ascii="宋体" w:hAnsi="宋体" w:cs="宋体" w:hint="eastAsia"/>
                <w:kern w:val="0"/>
                <w:sz w:val="20"/>
                <w:szCs w:val="20"/>
              </w:rPr>
            </w:pPr>
          </w:p>
        </w:tc>
        <w:tc>
          <w:tcPr>
            <w:tcW w:w="1284" w:type="dxa"/>
            <w:tcBorders>
              <w:top w:val="nil"/>
              <w:left w:val="nil"/>
              <w:bottom w:val="single" w:sz="4" w:space="0" w:color="auto"/>
              <w:right w:val="single" w:sz="4" w:space="0" w:color="auto"/>
            </w:tcBorders>
            <w:shd w:val="clear" w:color="auto" w:fill="auto"/>
            <w:vAlign w:val="center"/>
          </w:tcPr>
          <w:p w14:paraId="53498260"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公务用车保障数量</w:t>
            </w:r>
          </w:p>
        </w:tc>
        <w:tc>
          <w:tcPr>
            <w:tcW w:w="1104" w:type="dxa"/>
            <w:tcBorders>
              <w:top w:val="nil"/>
              <w:left w:val="nil"/>
              <w:bottom w:val="single" w:sz="4" w:space="0" w:color="auto"/>
              <w:right w:val="single" w:sz="4" w:space="0" w:color="auto"/>
            </w:tcBorders>
            <w:shd w:val="clear" w:color="auto" w:fill="auto"/>
            <w:vAlign w:val="center"/>
          </w:tcPr>
          <w:p w14:paraId="461B7750"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&gt;=1辆</w:t>
            </w:r>
          </w:p>
        </w:tc>
        <w:tc>
          <w:tcPr>
            <w:tcW w:w="1224" w:type="dxa"/>
            <w:tcBorders>
              <w:top w:val="nil"/>
              <w:left w:val="nil"/>
              <w:bottom w:val="single" w:sz="4" w:space="0" w:color="auto"/>
              <w:right w:val="single" w:sz="4" w:space="0" w:color="auto"/>
            </w:tcBorders>
            <w:shd w:val="clear" w:color="auto" w:fill="auto"/>
            <w:vAlign w:val="center"/>
          </w:tcPr>
          <w:p w14:paraId="26BD1B1F"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木垒哈萨克自治县委员会直属机关工作委员会职能配置、内设机构和人员编制规定</w:t>
            </w:r>
          </w:p>
        </w:tc>
        <w:tc>
          <w:tcPr>
            <w:tcW w:w="948" w:type="dxa"/>
            <w:tcBorders>
              <w:top w:val="nil"/>
              <w:left w:val="nil"/>
              <w:bottom w:val="single" w:sz="4" w:space="0" w:color="auto"/>
              <w:right w:val="single" w:sz="4" w:space="0" w:color="auto"/>
            </w:tcBorders>
            <w:shd w:val="clear" w:color="auto" w:fill="auto"/>
            <w:vAlign w:val="center"/>
          </w:tcPr>
          <w:p w14:paraId="3FC62CAF"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5</w:t>
            </w:r>
          </w:p>
        </w:tc>
        <w:tc>
          <w:tcPr>
            <w:tcW w:w="996" w:type="dxa"/>
            <w:tcBorders>
              <w:top w:val="nil"/>
              <w:left w:val="nil"/>
              <w:bottom w:val="single" w:sz="4" w:space="0" w:color="auto"/>
              <w:right w:val="single" w:sz="4" w:space="0" w:color="auto"/>
            </w:tcBorders>
            <w:shd w:val="clear" w:color="auto" w:fill="auto"/>
            <w:vAlign w:val="center"/>
          </w:tcPr>
          <w:p w14:paraId="30AD06CC"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1辆</w:t>
            </w:r>
          </w:p>
        </w:tc>
        <w:tc>
          <w:tcPr>
            <w:tcW w:w="733" w:type="dxa"/>
            <w:tcBorders>
              <w:top w:val="nil"/>
              <w:left w:val="nil"/>
              <w:bottom w:val="single" w:sz="4" w:space="0" w:color="auto"/>
              <w:right w:val="single" w:sz="4" w:space="0" w:color="auto"/>
            </w:tcBorders>
            <w:shd w:val="clear" w:color="auto" w:fill="auto"/>
            <w:vAlign w:val="center"/>
          </w:tcPr>
          <w:p w14:paraId="78EA960D"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5</w:t>
            </w:r>
          </w:p>
        </w:tc>
      </w:tr>
      <w:tr w:rsidR="00BA7812" w14:paraId="7C91CFC7" w14:textId="77777777">
        <w:trPr>
          <w:trHeight w:val="741"/>
          <w:jc w:val="center"/>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EAF5181"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管理效率</w:t>
            </w:r>
          </w:p>
        </w:tc>
        <w:tc>
          <w:tcPr>
            <w:tcW w:w="1273" w:type="dxa"/>
            <w:vMerge/>
            <w:tcBorders>
              <w:top w:val="nil"/>
              <w:left w:val="single" w:sz="4" w:space="0" w:color="auto"/>
              <w:bottom w:val="single" w:sz="4" w:space="0" w:color="auto"/>
              <w:right w:val="single" w:sz="4" w:space="0" w:color="auto"/>
            </w:tcBorders>
            <w:vAlign w:val="center"/>
          </w:tcPr>
          <w:p w14:paraId="16D68A8C" w14:textId="77777777" w:rsidR="00BA7812" w:rsidRDefault="00BA7812">
            <w:pPr>
              <w:widowControl/>
              <w:jc w:val="left"/>
              <w:rPr>
                <w:rFonts w:ascii="宋体" w:hAnsi="宋体" w:cs="宋体" w:hint="eastAsia"/>
                <w:kern w:val="0"/>
                <w:sz w:val="20"/>
                <w:szCs w:val="20"/>
              </w:rPr>
            </w:pPr>
          </w:p>
        </w:tc>
        <w:tc>
          <w:tcPr>
            <w:tcW w:w="1284" w:type="dxa"/>
            <w:tcBorders>
              <w:top w:val="nil"/>
              <w:left w:val="nil"/>
              <w:bottom w:val="single" w:sz="4" w:space="0" w:color="auto"/>
              <w:right w:val="single" w:sz="4" w:space="0" w:color="auto"/>
            </w:tcBorders>
            <w:shd w:val="clear" w:color="auto" w:fill="auto"/>
            <w:vAlign w:val="center"/>
          </w:tcPr>
          <w:p w14:paraId="3F8DD7AE"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党建例会次数</w:t>
            </w:r>
          </w:p>
        </w:tc>
        <w:tc>
          <w:tcPr>
            <w:tcW w:w="1104" w:type="dxa"/>
            <w:tcBorders>
              <w:top w:val="nil"/>
              <w:left w:val="nil"/>
              <w:bottom w:val="single" w:sz="4" w:space="0" w:color="auto"/>
              <w:right w:val="single" w:sz="4" w:space="0" w:color="auto"/>
            </w:tcBorders>
            <w:shd w:val="clear" w:color="auto" w:fill="auto"/>
            <w:vAlign w:val="center"/>
          </w:tcPr>
          <w:p w14:paraId="3F97F83E"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&gt;=4期</w:t>
            </w:r>
          </w:p>
        </w:tc>
        <w:tc>
          <w:tcPr>
            <w:tcW w:w="1224" w:type="dxa"/>
            <w:tcBorders>
              <w:top w:val="nil"/>
              <w:left w:val="nil"/>
              <w:bottom w:val="single" w:sz="4" w:space="0" w:color="auto"/>
              <w:right w:val="single" w:sz="4" w:space="0" w:color="auto"/>
            </w:tcBorders>
            <w:shd w:val="clear" w:color="auto" w:fill="auto"/>
            <w:vAlign w:val="center"/>
          </w:tcPr>
          <w:p w14:paraId="441B27AF"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木垒哈萨克自治县委员会直属机关工作委员2023年工作计划</w:t>
            </w:r>
          </w:p>
        </w:tc>
        <w:tc>
          <w:tcPr>
            <w:tcW w:w="948" w:type="dxa"/>
            <w:tcBorders>
              <w:top w:val="nil"/>
              <w:left w:val="nil"/>
              <w:bottom w:val="single" w:sz="4" w:space="0" w:color="auto"/>
              <w:right w:val="single" w:sz="4" w:space="0" w:color="auto"/>
            </w:tcBorders>
            <w:shd w:val="clear" w:color="auto" w:fill="auto"/>
            <w:vAlign w:val="center"/>
          </w:tcPr>
          <w:p w14:paraId="60CE3126"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13</w:t>
            </w:r>
          </w:p>
        </w:tc>
        <w:tc>
          <w:tcPr>
            <w:tcW w:w="996" w:type="dxa"/>
            <w:tcBorders>
              <w:top w:val="nil"/>
              <w:left w:val="nil"/>
              <w:bottom w:val="single" w:sz="4" w:space="0" w:color="auto"/>
              <w:right w:val="single" w:sz="4" w:space="0" w:color="auto"/>
            </w:tcBorders>
            <w:shd w:val="clear" w:color="auto" w:fill="auto"/>
            <w:vAlign w:val="center"/>
          </w:tcPr>
          <w:p w14:paraId="61407112"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4期</w:t>
            </w:r>
          </w:p>
        </w:tc>
        <w:tc>
          <w:tcPr>
            <w:tcW w:w="733" w:type="dxa"/>
            <w:tcBorders>
              <w:top w:val="nil"/>
              <w:left w:val="nil"/>
              <w:bottom w:val="single" w:sz="4" w:space="0" w:color="auto"/>
              <w:right w:val="single" w:sz="4" w:space="0" w:color="auto"/>
            </w:tcBorders>
            <w:shd w:val="clear" w:color="auto" w:fill="auto"/>
            <w:vAlign w:val="center"/>
          </w:tcPr>
          <w:p w14:paraId="003E9975"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13</w:t>
            </w:r>
          </w:p>
        </w:tc>
      </w:tr>
      <w:tr w:rsidR="00BA7812" w14:paraId="700D46DE" w14:textId="77777777">
        <w:trPr>
          <w:trHeight w:val="741"/>
          <w:jc w:val="center"/>
        </w:trPr>
        <w:tc>
          <w:tcPr>
            <w:tcW w:w="960" w:type="dxa"/>
            <w:vMerge/>
            <w:tcBorders>
              <w:top w:val="single" w:sz="4" w:space="0" w:color="auto"/>
              <w:left w:val="single" w:sz="4" w:space="0" w:color="auto"/>
              <w:bottom w:val="single" w:sz="4" w:space="0" w:color="auto"/>
              <w:right w:val="single" w:sz="4" w:space="0" w:color="auto"/>
            </w:tcBorders>
            <w:vAlign w:val="center"/>
          </w:tcPr>
          <w:p w14:paraId="00DD00EE" w14:textId="77777777" w:rsidR="00BA7812" w:rsidRDefault="00BA7812">
            <w:pPr>
              <w:widowControl/>
              <w:jc w:val="left"/>
              <w:rPr>
                <w:rFonts w:ascii="宋体" w:hAnsi="宋体" w:cs="宋体" w:hint="eastAsia"/>
                <w:kern w:val="0"/>
                <w:sz w:val="20"/>
                <w:szCs w:val="20"/>
              </w:rPr>
            </w:pPr>
          </w:p>
        </w:tc>
        <w:tc>
          <w:tcPr>
            <w:tcW w:w="1273" w:type="dxa"/>
            <w:tcBorders>
              <w:top w:val="nil"/>
              <w:left w:val="nil"/>
              <w:bottom w:val="single" w:sz="4" w:space="0" w:color="auto"/>
              <w:right w:val="single" w:sz="4" w:space="0" w:color="auto"/>
            </w:tcBorders>
            <w:shd w:val="clear" w:color="auto" w:fill="auto"/>
            <w:vAlign w:val="center"/>
          </w:tcPr>
          <w:p w14:paraId="39796116"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质量指标</w:t>
            </w:r>
          </w:p>
        </w:tc>
        <w:tc>
          <w:tcPr>
            <w:tcW w:w="1284" w:type="dxa"/>
            <w:tcBorders>
              <w:top w:val="nil"/>
              <w:left w:val="nil"/>
              <w:bottom w:val="single" w:sz="4" w:space="0" w:color="auto"/>
              <w:right w:val="single" w:sz="4" w:space="0" w:color="auto"/>
            </w:tcBorders>
            <w:shd w:val="clear" w:color="auto" w:fill="auto"/>
            <w:vAlign w:val="center"/>
          </w:tcPr>
          <w:p w14:paraId="008E4C6F"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党建例会参与率</w:t>
            </w:r>
          </w:p>
        </w:tc>
        <w:tc>
          <w:tcPr>
            <w:tcW w:w="1104" w:type="dxa"/>
            <w:tcBorders>
              <w:top w:val="nil"/>
              <w:left w:val="nil"/>
              <w:bottom w:val="single" w:sz="4" w:space="0" w:color="auto"/>
              <w:right w:val="single" w:sz="4" w:space="0" w:color="auto"/>
            </w:tcBorders>
            <w:shd w:val="clear" w:color="auto" w:fill="auto"/>
            <w:vAlign w:val="center"/>
          </w:tcPr>
          <w:p w14:paraId="6E16E92E"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&gt;=95%</w:t>
            </w:r>
          </w:p>
        </w:tc>
        <w:tc>
          <w:tcPr>
            <w:tcW w:w="1224" w:type="dxa"/>
            <w:tcBorders>
              <w:top w:val="nil"/>
              <w:left w:val="nil"/>
              <w:bottom w:val="single" w:sz="4" w:space="0" w:color="auto"/>
              <w:right w:val="single" w:sz="4" w:space="0" w:color="auto"/>
            </w:tcBorders>
            <w:shd w:val="clear" w:color="auto" w:fill="auto"/>
            <w:vAlign w:val="center"/>
          </w:tcPr>
          <w:p w14:paraId="7FFC8604"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木垒哈萨克自治县委员会直属机关工作委员2023年工作计划</w:t>
            </w:r>
          </w:p>
        </w:tc>
        <w:tc>
          <w:tcPr>
            <w:tcW w:w="948" w:type="dxa"/>
            <w:tcBorders>
              <w:top w:val="nil"/>
              <w:left w:val="nil"/>
              <w:bottom w:val="single" w:sz="4" w:space="0" w:color="auto"/>
              <w:right w:val="single" w:sz="4" w:space="0" w:color="auto"/>
            </w:tcBorders>
            <w:shd w:val="clear" w:color="auto" w:fill="auto"/>
            <w:vAlign w:val="center"/>
          </w:tcPr>
          <w:p w14:paraId="15AE3A05"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11</w:t>
            </w:r>
          </w:p>
        </w:tc>
        <w:tc>
          <w:tcPr>
            <w:tcW w:w="996" w:type="dxa"/>
            <w:tcBorders>
              <w:top w:val="nil"/>
              <w:left w:val="nil"/>
              <w:bottom w:val="single" w:sz="4" w:space="0" w:color="auto"/>
              <w:right w:val="single" w:sz="4" w:space="0" w:color="auto"/>
            </w:tcBorders>
            <w:shd w:val="clear" w:color="auto" w:fill="auto"/>
            <w:vAlign w:val="center"/>
          </w:tcPr>
          <w:p w14:paraId="57F4A150"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95%</w:t>
            </w:r>
          </w:p>
        </w:tc>
        <w:tc>
          <w:tcPr>
            <w:tcW w:w="733" w:type="dxa"/>
            <w:tcBorders>
              <w:top w:val="nil"/>
              <w:left w:val="nil"/>
              <w:bottom w:val="single" w:sz="4" w:space="0" w:color="auto"/>
              <w:right w:val="single" w:sz="4" w:space="0" w:color="auto"/>
            </w:tcBorders>
            <w:shd w:val="clear" w:color="auto" w:fill="auto"/>
            <w:vAlign w:val="center"/>
          </w:tcPr>
          <w:p w14:paraId="5EDD6F8C"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11</w:t>
            </w:r>
          </w:p>
        </w:tc>
      </w:tr>
      <w:tr w:rsidR="00BA7812" w14:paraId="65599EB1" w14:textId="77777777">
        <w:trPr>
          <w:trHeight w:val="741"/>
          <w:jc w:val="center"/>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86499E6"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履职效能</w:t>
            </w:r>
          </w:p>
        </w:tc>
        <w:tc>
          <w:tcPr>
            <w:tcW w:w="1273" w:type="dxa"/>
            <w:vMerge w:val="restart"/>
            <w:tcBorders>
              <w:top w:val="nil"/>
              <w:left w:val="single" w:sz="4" w:space="0" w:color="auto"/>
              <w:bottom w:val="single" w:sz="4" w:space="0" w:color="auto"/>
              <w:right w:val="single" w:sz="4" w:space="0" w:color="auto"/>
            </w:tcBorders>
            <w:shd w:val="clear" w:color="auto" w:fill="auto"/>
            <w:vAlign w:val="center"/>
          </w:tcPr>
          <w:p w14:paraId="5670F215"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数量指标</w:t>
            </w:r>
          </w:p>
        </w:tc>
        <w:tc>
          <w:tcPr>
            <w:tcW w:w="1284" w:type="dxa"/>
            <w:tcBorders>
              <w:top w:val="nil"/>
              <w:left w:val="nil"/>
              <w:bottom w:val="single" w:sz="4" w:space="0" w:color="auto"/>
              <w:right w:val="single" w:sz="4" w:space="0" w:color="auto"/>
            </w:tcBorders>
            <w:shd w:val="clear" w:color="auto" w:fill="auto"/>
            <w:vAlign w:val="center"/>
          </w:tcPr>
          <w:p w14:paraId="4603EE30"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党员发展数量</w:t>
            </w:r>
          </w:p>
        </w:tc>
        <w:tc>
          <w:tcPr>
            <w:tcW w:w="1104" w:type="dxa"/>
            <w:tcBorders>
              <w:top w:val="nil"/>
              <w:left w:val="nil"/>
              <w:bottom w:val="single" w:sz="4" w:space="0" w:color="auto"/>
              <w:right w:val="single" w:sz="4" w:space="0" w:color="auto"/>
            </w:tcBorders>
            <w:shd w:val="clear" w:color="auto" w:fill="auto"/>
            <w:vAlign w:val="center"/>
          </w:tcPr>
          <w:p w14:paraId="1FD58A1F"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&gt;=50人</w:t>
            </w:r>
          </w:p>
        </w:tc>
        <w:tc>
          <w:tcPr>
            <w:tcW w:w="1224" w:type="dxa"/>
            <w:tcBorders>
              <w:top w:val="nil"/>
              <w:left w:val="nil"/>
              <w:bottom w:val="single" w:sz="4" w:space="0" w:color="auto"/>
              <w:right w:val="single" w:sz="4" w:space="0" w:color="auto"/>
            </w:tcBorders>
            <w:shd w:val="clear" w:color="auto" w:fill="auto"/>
            <w:vAlign w:val="center"/>
          </w:tcPr>
          <w:p w14:paraId="5E208334"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木垒哈萨克自治县委员会直属机关工作委员2023年工作计划</w:t>
            </w:r>
          </w:p>
        </w:tc>
        <w:tc>
          <w:tcPr>
            <w:tcW w:w="948" w:type="dxa"/>
            <w:tcBorders>
              <w:top w:val="nil"/>
              <w:left w:val="nil"/>
              <w:bottom w:val="single" w:sz="4" w:space="0" w:color="auto"/>
              <w:right w:val="single" w:sz="4" w:space="0" w:color="auto"/>
            </w:tcBorders>
            <w:shd w:val="clear" w:color="auto" w:fill="auto"/>
            <w:vAlign w:val="center"/>
          </w:tcPr>
          <w:p w14:paraId="205647B8"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12</w:t>
            </w:r>
          </w:p>
        </w:tc>
        <w:tc>
          <w:tcPr>
            <w:tcW w:w="996" w:type="dxa"/>
            <w:tcBorders>
              <w:top w:val="nil"/>
              <w:left w:val="nil"/>
              <w:bottom w:val="single" w:sz="4" w:space="0" w:color="auto"/>
              <w:right w:val="single" w:sz="4" w:space="0" w:color="auto"/>
            </w:tcBorders>
            <w:shd w:val="clear" w:color="auto" w:fill="auto"/>
            <w:vAlign w:val="center"/>
          </w:tcPr>
          <w:p w14:paraId="290A31EA"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50人</w:t>
            </w:r>
          </w:p>
        </w:tc>
        <w:tc>
          <w:tcPr>
            <w:tcW w:w="733" w:type="dxa"/>
            <w:tcBorders>
              <w:top w:val="nil"/>
              <w:left w:val="nil"/>
              <w:bottom w:val="single" w:sz="4" w:space="0" w:color="auto"/>
              <w:right w:val="single" w:sz="4" w:space="0" w:color="auto"/>
            </w:tcBorders>
            <w:shd w:val="clear" w:color="auto" w:fill="auto"/>
            <w:vAlign w:val="center"/>
          </w:tcPr>
          <w:p w14:paraId="0729B035"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12</w:t>
            </w:r>
          </w:p>
        </w:tc>
      </w:tr>
      <w:tr w:rsidR="00BA7812" w14:paraId="580B7A1F" w14:textId="77777777">
        <w:trPr>
          <w:trHeight w:val="741"/>
          <w:jc w:val="center"/>
        </w:trPr>
        <w:tc>
          <w:tcPr>
            <w:tcW w:w="960" w:type="dxa"/>
            <w:vMerge/>
            <w:tcBorders>
              <w:top w:val="single" w:sz="4" w:space="0" w:color="auto"/>
              <w:left w:val="single" w:sz="4" w:space="0" w:color="auto"/>
              <w:bottom w:val="single" w:sz="4" w:space="0" w:color="auto"/>
              <w:right w:val="single" w:sz="4" w:space="0" w:color="auto"/>
            </w:tcBorders>
            <w:vAlign w:val="center"/>
          </w:tcPr>
          <w:p w14:paraId="3A29EA68" w14:textId="77777777" w:rsidR="00BA7812" w:rsidRDefault="00BA7812">
            <w:pPr>
              <w:widowControl/>
              <w:jc w:val="left"/>
              <w:rPr>
                <w:rFonts w:ascii="宋体" w:hAnsi="宋体" w:cs="宋体" w:hint="eastAsia"/>
                <w:kern w:val="0"/>
                <w:sz w:val="20"/>
                <w:szCs w:val="20"/>
              </w:rPr>
            </w:pPr>
          </w:p>
        </w:tc>
        <w:tc>
          <w:tcPr>
            <w:tcW w:w="1273" w:type="dxa"/>
            <w:vMerge/>
            <w:tcBorders>
              <w:top w:val="nil"/>
              <w:left w:val="single" w:sz="4" w:space="0" w:color="auto"/>
              <w:bottom w:val="single" w:sz="4" w:space="0" w:color="auto"/>
              <w:right w:val="single" w:sz="4" w:space="0" w:color="auto"/>
            </w:tcBorders>
            <w:vAlign w:val="center"/>
          </w:tcPr>
          <w:p w14:paraId="75126627" w14:textId="77777777" w:rsidR="00BA7812" w:rsidRDefault="00BA7812">
            <w:pPr>
              <w:widowControl/>
              <w:jc w:val="left"/>
              <w:rPr>
                <w:rFonts w:ascii="宋体" w:hAnsi="宋体" w:cs="宋体" w:hint="eastAsia"/>
                <w:kern w:val="0"/>
                <w:sz w:val="20"/>
                <w:szCs w:val="20"/>
              </w:rPr>
            </w:pPr>
          </w:p>
        </w:tc>
        <w:tc>
          <w:tcPr>
            <w:tcW w:w="1284" w:type="dxa"/>
            <w:tcBorders>
              <w:top w:val="nil"/>
              <w:left w:val="nil"/>
              <w:bottom w:val="single" w:sz="4" w:space="0" w:color="auto"/>
              <w:right w:val="single" w:sz="4" w:space="0" w:color="auto"/>
            </w:tcBorders>
            <w:shd w:val="clear" w:color="auto" w:fill="auto"/>
            <w:vAlign w:val="center"/>
          </w:tcPr>
          <w:p w14:paraId="5DE5E638"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党员教育培训数量</w:t>
            </w:r>
          </w:p>
        </w:tc>
        <w:tc>
          <w:tcPr>
            <w:tcW w:w="1104" w:type="dxa"/>
            <w:tcBorders>
              <w:top w:val="nil"/>
              <w:left w:val="nil"/>
              <w:bottom w:val="single" w:sz="4" w:space="0" w:color="auto"/>
              <w:right w:val="single" w:sz="4" w:space="0" w:color="auto"/>
            </w:tcBorders>
            <w:shd w:val="clear" w:color="auto" w:fill="auto"/>
            <w:vAlign w:val="center"/>
          </w:tcPr>
          <w:p w14:paraId="57BDDC84"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&gt;=2期</w:t>
            </w:r>
          </w:p>
        </w:tc>
        <w:tc>
          <w:tcPr>
            <w:tcW w:w="1224" w:type="dxa"/>
            <w:tcBorders>
              <w:top w:val="nil"/>
              <w:left w:val="nil"/>
              <w:bottom w:val="single" w:sz="4" w:space="0" w:color="auto"/>
              <w:right w:val="single" w:sz="4" w:space="0" w:color="auto"/>
            </w:tcBorders>
            <w:shd w:val="clear" w:color="auto" w:fill="auto"/>
            <w:vAlign w:val="center"/>
          </w:tcPr>
          <w:p w14:paraId="29C19C8E"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木垒哈萨克自治县委员会直属机关工作委员2023年工作计划</w:t>
            </w:r>
          </w:p>
        </w:tc>
        <w:tc>
          <w:tcPr>
            <w:tcW w:w="948" w:type="dxa"/>
            <w:tcBorders>
              <w:top w:val="nil"/>
              <w:left w:val="nil"/>
              <w:bottom w:val="single" w:sz="4" w:space="0" w:color="auto"/>
              <w:right w:val="single" w:sz="4" w:space="0" w:color="auto"/>
            </w:tcBorders>
            <w:shd w:val="clear" w:color="auto" w:fill="auto"/>
            <w:vAlign w:val="center"/>
          </w:tcPr>
          <w:p w14:paraId="039FBCF2"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11</w:t>
            </w:r>
          </w:p>
        </w:tc>
        <w:tc>
          <w:tcPr>
            <w:tcW w:w="996" w:type="dxa"/>
            <w:tcBorders>
              <w:top w:val="nil"/>
              <w:left w:val="nil"/>
              <w:bottom w:val="single" w:sz="4" w:space="0" w:color="auto"/>
              <w:right w:val="single" w:sz="4" w:space="0" w:color="auto"/>
            </w:tcBorders>
            <w:shd w:val="clear" w:color="auto" w:fill="auto"/>
            <w:vAlign w:val="center"/>
          </w:tcPr>
          <w:p w14:paraId="22203CB9"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2期</w:t>
            </w:r>
          </w:p>
        </w:tc>
        <w:tc>
          <w:tcPr>
            <w:tcW w:w="733" w:type="dxa"/>
            <w:tcBorders>
              <w:top w:val="nil"/>
              <w:left w:val="nil"/>
              <w:bottom w:val="single" w:sz="4" w:space="0" w:color="auto"/>
              <w:right w:val="single" w:sz="4" w:space="0" w:color="auto"/>
            </w:tcBorders>
            <w:shd w:val="clear" w:color="auto" w:fill="auto"/>
            <w:vAlign w:val="center"/>
          </w:tcPr>
          <w:p w14:paraId="49C65082"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11</w:t>
            </w:r>
          </w:p>
        </w:tc>
      </w:tr>
      <w:tr w:rsidR="00BA7812" w14:paraId="396F3791" w14:textId="77777777">
        <w:trPr>
          <w:trHeight w:val="741"/>
          <w:jc w:val="center"/>
        </w:trPr>
        <w:tc>
          <w:tcPr>
            <w:tcW w:w="960" w:type="dxa"/>
            <w:vMerge/>
            <w:tcBorders>
              <w:top w:val="single" w:sz="4" w:space="0" w:color="auto"/>
              <w:left w:val="single" w:sz="4" w:space="0" w:color="auto"/>
              <w:bottom w:val="single" w:sz="4" w:space="0" w:color="auto"/>
              <w:right w:val="single" w:sz="4" w:space="0" w:color="auto"/>
            </w:tcBorders>
            <w:vAlign w:val="center"/>
          </w:tcPr>
          <w:p w14:paraId="4B58CA82" w14:textId="77777777" w:rsidR="00BA7812" w:rsidRDefault="00BA7812">
            <w:pPr>
              <w:widowControl/>
              <w:jc w:val="left"/>
              <w:rPr>
                <w:rFonts w:ascii="宋体" w:hAnsi="宋体" w:cs="宋体" w:hint="eastAsia"/>
                <w:kern w:val="0"/>
                <w:sz w:val="20"/>
                <w:szCs w:val="20"/>
              </w:rPr>
            </w:pPr>
          </w:p>
        </w:tc>
        <w:tc>
          <w:tcPr>
            <w:tcW w:w="1273" w:type="dxa"/>
            <w:vMerge w:val="restart"/>
            <w:tcBorders>
              <w:top w:val="nil"/>
              <w:left w:val="single" w:sz="4" w:space="0" w:color="auto"/>
              <w:bottom w:val="single" w:sz="4" w:space="0" w:color="auto"/>
              <w:right w:val="single" w:sz="4" w:space="0" w:color="auto"/>
            </w:tcBorders>
            <w:shd w:val="clear" w:color="auto" w:fill="auto"/>
            <w:noWrap/>
            <w:vAlign w:val="center"/>
          </w:tcPr>
          <w:p w14:paraId="285DAF80" w14:textId="77777777" w:rsidR="00BA7812" w:rsidRDefault="00000000">
            <w:pPr>
              <w:widowControl/>
              <w:jc w:val="left"/>
              <w:rPr>
                <w:rFonts w:ascii="宋体" w:hAnsi="宋体" w:cs="宋体" w:hint="eastAsia"/>
                <w:kern w:val="0"/>
                <w:sz w:val="20"/>
                <w:szCs w:val="20"/>
              </w:rPr>
            </w:pPr>
            <w:r>
              <w:rPr>
                <w:rFonts w:ascii="宋体" w:hAnsi="宋体" w:cs="宋体" w:hint="eastAsia"/>
                <w:kern w:val="0"/>
                <w:sz w:val="20"/>
                <w:szCs w:val="20"/>
              </w:rPr>
              <w:t>质量指标</w:t>
            </w:r>
          </w:p>
        </w:tc>
        <w:tc>
          <w:tcPr>
            <w:tcW w:w="1284" w:type="dxa"/>
            <w:tcBorders>
              <w:top w:val="nil"/>
              <w:left w:val="nil"/>
              <w:bottom w:val="single" w:sz="4" w:space="0" w:color="auto"/>
              <w:right w:val="single" w:sz="4" w:space="0" w:color="auto"/>
            </w:tcBorders>
            <w:shd w:val="clear" w:color="auto" w:fill="auto"/>
            <w:noWrap/>
            <w:vAlign w:val="center"/>
          </w:tcPr>
          <w:p w14:paraId="2D2285E9" w14:textId="77777777" w:rsidR="00BA7812" w:rsidRDefault="00000000">
            <w:pPr>
              <w:widowControl/>
              <w:jc w:val="left"/>
              <w:rPr>
                <w:rFonts w:ascii="宋体" w:hAnsi="宋体" w:cs="宋体" w:hint="eastAsia"/>
                <w:kern w:val="0"/>
                <w:sz w:val="20"/>
                <w:szCs w:val="20"/>
              </w:rPr>
            </w:pPr>
            <w:r>
              <w:rPr>
                <w:rFonts w:ascii="宋体" w:hAnsi="宋体" w:cs="宋体" w:hint="eastAsia"/>
                <w:kern w:val="0"/>
                <w:sz w:val="20"/>
                <w:szCs w:val="20"/>
              </w:rPr>
              <w:t>预备党员转正率</w:t>
            </w:r>
          </w:p>
        </w:tc>
        <w:tc>
          <w:tcPr>
            <w:tcW w:w="1104" w:type="dxa"/>
            <w:tcBorders>
              <w:top w:val="nil"/>
              <w:left w:val="nil"/>
              <w:bottom w:val="single" w:sz="4" w:space="0" w:color="auto"/>
              <w:right w:val="single" w:sz="4" w:space="0" w:color="auto"/>
            </w:tcBorders>
            <w:shd w:val="clear" w:color="auto" w:fill="auto"/>
            <w:noWrap/>
            <w:vAlign w:val="center"/>
          </w:tcPr>
          <w:p w14:paraId="20780F44" w14:textId="77777777" w:rsidR="00BA7812" w:rsidRDefault="00000000">
            <w:pPr>
              <w:widowControl/>
              <w:jc w:val="left"/>
              <w:rPr>
                <w:rFonts w:ascii="宋体" w:hAnsi="宋体" w:cs="宋体" w:hint="eastAsia"/>
                <w:kern w:val="0"/>
                <w:sz w:val="20"/>
                <w:szCs w:val="20"/>
              </w:rPr>
            </w:pPr>
            <w:r>
              <w:rPr>
                <w:rFonts w:ascii="宋体" w:hAnsi="宋体" w:cs="宋体" w:hint="eastAsia"/>
                <w:kern w:val="0"/>
                <w:sz w:val="20"/>
                <w:szCs w:val="20"/>
              </w:rPr>
              <w:t>&gt;=95%</w:t>
            </w:r>
          </w:p>
        </w:tc>
        <w:tc>
          <w:tcPr>
            <w:tcW w:w="1224" w:type="dxa"/>
            <w:tcBorders>
              <w:top w:val="nil"/>
              <w:left w:val="nil"/>
              <w:bottom w:val="single" w:sz="4" w:space="0" w:color="auto"/>
              <w:right w:val="single" w:sz="4" w:space="0" w:color="auto"/>
            </w:tcBorders>
            <w:shd w:val="clear" w:color="auto" w:fill="auto"/>
            <w:noWrap/>
            <w:vAlign w:val="center"/>
          </w:tcPr>
          <w:p w14:paraId="38EE7274" w14:textId="77777777" w:rsidR="00BA7812" w:rsidRDefault="00000000">
            <w:pPr>
              <w:widowControl/>
              <w:jc w:val="left"/>
              <w:rPr>
                <w:rFonts w:ascii="宋体" w:hAnsi="宋体" w:cs="宋体" w:hint="eastAsia"/>
                <w:kern w:val="0"/>
                <w:sz w:val="20"/>
                <w:szCs w:val="20"/>
              </w:rPr>
            </w:pPr>
            <w:r>
              <w:rPr>
                <w:rFonts w:ascii="宋体" w:hAnsi="宋体" w:cs="宋体" w:hint="eastAsia"/>
                <w:kern w:val="0"/>
                <w:sz w:val="20"/>
                <w:szCs w:val="20"/>
              </w:rPr>
              <w:t>木垒哈萨克自治县委员会直属机关工作委员2023年工作计划</w:t>
            </w:r>
          </w:p>
        </w:tc>
        <w:tc>
          <w:tcPr>
            <w:tcW w:w="948" w:type="dxa"/>
            <w:tcBorders>
              <w:top w:val="nil"/>
              <w:left w:val="nil"/>
              <w:bottom w:val="single" w:sz="4" w:space="0" w:color="auto"/>
              <w:right w:val="single" w:sz="4" w:space="0" w:color="auto"/>
            </w:tcBorders>
            <w:shd w:val="clear" w:color="auto" w:fill="auto"/>
            <w:noWrap/>
            <w:vAlign w:val="center"/>
          </w:tcPr>
          <w:p w14:paraId="2EA9A24F" w14:textId="77777777" w:rsidR="00BA7812" w:rsidRDefault="00000000">
            <w:pPr>
              <w:widowControl/>
              <w:jc w:val="left"/>
              <w:rPr>
                <w:rFonts w:ascii="宋体" w:hAnsi="宋体" w:cs="宋体" w:hint="eastAsia"/>
                <w:kern w:val="0"/>
                <w:sz w:val="20"/>
                <w:szCs w:val="20"/>
              </w:rPr>
            </w:pPr>
            <w:r>
              <w:rPr>
                <w:rFonts w:ascii="宋体" w:hAnsi="宋体" w:cs="宋体" w:hint="eastAsia"/>
                <w:kern w:val="0"/>
                <w:sz w:val="20"/>
                <w:szCs w:val="20"/>
              </w:rPr>
              <w:t>11</w:t>
            </w:r>
          </w:p>
        </w:tc>
        <w:tc>
          <w:tcPr>
            <w:tcW w:w="996" w:type="dxa"/>
            <w:tcBorders>
              <w:top w:val="nil"/>
              <w:left w:val="nil"/>
              <w:bottom w:val="single" w:sz="4" w:space="0" w:color="auto"/>
              <w:right w:val="single" w:sz="4" w:space="0" w:color="auto"/>
            </w:tcBorders>
            <w:shd w:val="clear" w:color="auto" w:fill="auto"/>
            <w:noWrap/>
            <w:vAlign w:val="center"/>
          </w:tcPr>
          <w:p w14:paraId="3CC48631" w14:textId="77777777" w:rsidR="00BA7812" w:rsidRDefault="00000000">
            <w:pPr>
              <w:widowControl/>
              <w:jc w:val="left"/>
              <w:rPr>
                <w:rFonts w:ascii="宋体" w:hAnsi="宋体" w:cs="宋体" w:hint="eastAsia"/>
                <w:kern w:val="0"/>
                <w:sz w:val="20"/>
                <w:szCs w:val="20"/>
              </w:rPr>
            </w:pPr>
            <w:r>
              <w:rPr>
                <w:rFonts w:ascii="宋体" w:hAnsi="宋体" w:cs="宋体" w:hint="eastAsia"/>
                <w:kern w:val="0"/>
                <w:sz w:val="20"/>
                <w:szCs w:val="20"/>
              </w:rPr>
              <w:t>95%</w:t>
            </w:r>
          </w:p>
        </w:tc>
        <w:tc>
          <w:tcPr>
            <w:tcW w:w="733" w:type="dxa"/>
            <w:tcBorders>
              <w:top w:val="nil"/>
              <w:left w:val="nil"/>
              <w:bottom w:val="single" w:sz="4" w:space="0" w:color="auto"/>
              <w:right w:val="single" w:sz="4" w:space="0" w:color="auto"/>
            </w:tcBorders>
            <w:shd w:val="clear" w:color="auto" w:fill="auto"/>
            <w:noWrap/>
            <w:vAlign w:val="center"/>
          </w:tcPr>
          <w:p w14:paraId="5A5CE94E" w14:textId="77777777" w:rsidR="00BA7812" w:rsidRDefault="00000000">
            <w:pPr>
              <w:widowControl/>
              <w:jc w:val="left"/>
              <w:rPr>
                <w:rFonts w:ascii="宋体" w:hAnsi="宋体" w:cs="宋体" w:hint="eastAsia"/>
                <w:kern w:val="0"/>
                <w:sz w:val="20"/>
                <w:szCs w:val="20"/>
              </w:rPr>
            </w:pPr>
            <w:r>
              <w:rPr>
                <w:rFonts w:ascii="宋体" w:hAnsi="宋体" w:cs="宋体" w:hint="eastAsia"/>
                <w:kern w:val="0"/>
                <w:sz w:val="20"/>
                <w:szCs w:val="20"/>
              </w:rPr>
              <w:t>11</w:t>
            </w:r>
          </w:p>
        </w:tc>
      </w:tr>
      <w:tr w:rsidR="00BA7812" w14:paraId="56584B0C" w14:textId="77777777">
        <w:trPr>
          <w:trHeight w:val="741"/>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B39488" w14:textId="77777777" w:rsidR="00BA7812" w:rsidRDefault="00000000">
            <w:pPr>
              <w:widowControl/>
              <w:jc w:val="left"/>
              <w:rPr>
                <w:rFonts w:ascii="宋体" w:hAnsi="宋体" w:cs="宋体" w:hint="eastAsia"/>
                <w:kern w:val="0"/>
                <w:sz w:val="20"/>
                <w:szCs w:val="20"/>
              </w:rPr>
            </w:pPr>
            <w:r>
              <w:rPr>
                <w:rFonts w:ascii="宋体" w:hAnsi="宋体" w:cs="宋体" w:hint="eastAsia"/>
                <w:kern w:val="0"/>
                <w:sz w:val="20"/>
                <w:szCs w:val="20"/>
              </w:rPr>
              <w:lastRenderedPageBreak/>
              <w:t>社会效益</w:t>
            </w:r>
          </w:p>
        </w:tc>
        <w:tc>
          <w:tcPr>
            <w:tcW w:w="1273" w:type="dxa"/>
            <w:vMerge/>
            <w:tcBorders>
              <w:top w:val="nil"/>
              <w:left w:val="single" w:sz="4" w:space="0" w:color="auto"/>
              <w:bottom w:val="single" w:sz="4" w:space="0" w:color="auto"/>
              <w:right w:val="single" w:sz="4" w:space="0" w:color="auto"/>
            </w:tcBorders>
            <w:vAlign w:val="center"/>
          </w:tcPr>
          <w:p w14:paraId="565623F6" w14:textId="77777777" w:rsidR="00BA7812" w:rsidRDefault="00BA7812">
            <w:pPr>
              <w:widowControl/>
              <w:jc w:val="left"/>
              <w:rPr>
                <w:rFonts w:ascii="宋体" w:hAnsi="宋体" w:cs="宋体" w:hint="eastAsia"/>
                <w:kern w:val="0"/>
                <w:sz w:val="20"/>
                <w:szCs w:val="20"/>
              </w:rPr>
            </w:pPr>
          </w:p>
        </w:tc>
        <w:tc>
          <w:tcPr>
            <w:tcW w:w="1284" w:type="dxa"/>
            <w:tcBorders>
              <w:top w:val="nil"/>
              <w:left w:val="nil"/>
              <w:bottom w:val="single" w:sz="4" w:space="0" w:color="auto"/>
              <w:right w:val="single" w:sz="4" w:space="0" w:color="auto"/>
            </w:tcBorders>
            <w:shd w:val="clear" w:color="auto" w:fill="auto"/>
            <w:noWrap/>
            <w:vAlign w:val="center"/>
          </w:tcPr>
          <w:p w14:paraId="41AE6644" w14:textId="77777777" w:rsidR="00BA7812" w:rsidRDefault="00000000">
            <w:pPr>
              <w:widowControl/>
              <w:jc w:val="left"/>
              <w:rPr>
                <w:rFonts w:ascii="宋体" w:hAnsi="宋体" w:cs="宋体" w:hint="eastAsia"/>
                <w:kern w:val="0"/>
                <w:sz w:val="20"/>
                <w:szCs w:val="20"/>
              </w:rPr>
            </w:pPr>
            <w:r>
              <w:rPr>
                <w:rFonts w:ascii="宋体" w:hAnsi="宋体" w:cs="宋体" w:hint="eastAsia"/>
                <w:kern w:val="0"/>
                <w:sz w:val="20"/>
                <w:szCs w:val="20"/>
              </w:rPr>
              <w:t>党员纳新率</w:t>
            </w:r>
          </w:p>
        </w:tc>
        <w:tc>
          <w:tcPr>
            <w:tcW w:w="1104" w:type="dxa"/>
            <w:tcBorders>
              <w:top w:val="nil"/>
              <w:left w:val="nil"/>
              <w:bottom w:val="single" w:sz="4" w:space="0" w:color="auto"/>
              <w:right w:val="single" w:sz="4" w:space="0" w:color="auto"/>
            </w:tcBorders>
            <w:shd w:val="clear" w:color="auto" w:fill="auto"/>
            <w:noWrap/>
            <w:vAlign w:val="center"/>
          </w:tcPr>
          <w:p w14:paraId="5A9606A2" w14:textId="77777777" w:rsidR="00BA7812" w:rsidRDefault="00000000">
            <w:pPr>
              <w:widowControl/>
              <w:jc w:val="left"/>
              <w:rPr>
                <w:rFonts w:ascii="宋体" w:hAnsi="宋体" w:cs="宋体" w:hint="eastAsia"/>
                <w:kern w:val="0"/>
                <w:sz w:val="20"/>
                <w:szCs w:val="20"/>
              </w:rPr>
            </w:pPr>
            <w:r>
              <w:rPr>
                <w:rFonts w:ascii="宋体" w:hAnsi="宋体" w:cs="宋体" w:hint="eastAsia"/>
                <w:kern w:val="0"/>
                <w:sz w:val="20"/>
                <w:szCs w:val="20"/>
              </w:rPr>
              <w:t>&gt;=96%</w:t>
            </w:r>
          </w:p>
        </w:tc>
        <w:tc>
          <w:tcPr>
            <w:tcW w:w="1224" w:type="dxa"/>
            <w:tcBorders>
              <w:top w:val="nil"/>
              <w:left w:val="nil"/>
              <w:bottom w:val="single" w:sz="4" w:space="0" w:color="auto"/>
              <w:right w:val="single" w:sz="4" w:space="0" w:color="auto"/>
            </w:tcBorders>
            <w:shd w:val="clear" w:color="auto" w:fill="auto"/>
            <w:noWrap/>
            <w:vAlign w:val="center"/>
          </w:tcPr>
          <w:p w14:paraId="48895D14" w14:textId="77777777" w:rsidR="00BA7812" w:rsidRDefault="00000000">
            <w:pPr>
              <w:widowControl/>
              <w:jc w:val="left"/>
              <w:rPr>
                <w:rFonts w:ascii="宋体" w:hAnsi="宋体" w:cs="宋体" w:hint="eastAsia"/>
                <w:kern w:val="0"/>
                <w:sz w:val="20"/>
                <w:szCs w:val="20"/>
              </w:rPr>
            </w:pPr>
            <w:r>
              <w:rPr>
                <w:rFonts w:ascii="宋体" w:hAnsi="宋体" w:cs="宋体" w:hint="eastAsia"/>
                <w:kern w:val="0"/>
                <w:sz w:val="20"/>
                <w:szCs w:val="20"/>
              </w:rPr>
              <w:t>木垒哈萨克自治县委员会直属机关工作委员2023年工作计划</w:t>
            </w:r>
          </w:p>
        </w:tc>
        <w:tc>
          <w:tcPr>
            <w:tcW w:w="948" w:type="dxa"/>
            <w:tcBorders>
              <w:top w:val="nil"/>
              <w:left w:val="nil"/>
              <w:bottom w:val="single" w:sz="4" w:space="0" w:color="auto"/>
              <w:right w:val="single" w:sz="4" w:space="0" w:color="auto"/>
            </w:tcBorders>
            <w:shd w:val="clear" w:color="auto" w:fill="auto"/>
            <w:noWrap/>
            <w:vAlign w:val="center"/>
          </w:tcPr>
          <w:p w14:paraId="58C49524" w14:textId="77777777" w:rsidR="00BA7812" w:rsidRDefault="00000000">
            <w:pPr>
              <w:widowControl/>
              <w:jc w:val="left"/>
              <w:rPr>
                <w:rFonts w:ascii="宋体" w:hAnsi="宋体" w:cs="宋体" w:hint="eastAsia"/>
                <w:kern w:val="0"/>
                <w:sz w:val="20"/>
                <w:szCs w:val="20"/>
              </w:rPr>
            </w:pPr>
            <w:r>
              <w:rPr>
                <w:rFonts w:ascii="宋体" w:hAnsi="宋体" w:cs="宋体" w:hint="eastAsia"/>
                <w:kern w:val="0"/>
                <w:sz w:val="20"/>
                <w:szCs w:val="20"/>
              </w:rPr>
              <w:t>12</w:t>
            </w:r>
          </w:p>
        </w:tc>
        <w:tc>
          <w:tcPr>
            <w:tcW w:w="996" w:type="dxa"/>
            <w:tcBorders>
              <w:top w:val="nil"/>
              <w:left w:val="nil"/>
              <w:bottom w:val="single" w:sz="4" w:space="0" w:color="auto"/>
              <w:right w:val="single" w:sz="4" w:space="0" w:color="auto"/>
            </w:tcBorders>
            <w:shd w:val="clear" w:color="auto" w:fill="auto"/>
            <w:noWrap/>
            <w:vAlign w:val="center"/>
          </w:tcPr>
          <w:p w14:paraId="089A6DDC" w14:textId="77777777" w:rsidR="00BA7812" w:rsidRDefault="00000000">
            <w:pPr>
              <w:widowControl/>
              <w:jc w:val="left"/>
              <w:rPr>
                <w:rFonts w:ascii="宋体" w:hAnsi="宋体" w:cs="宋体" w:hint="eastAsia"/>
                <w:kern w:val="0"/>
                <w:sz w:val="20"/>
                <w:szCs w:val="20"/>
              </w:rPr>
            </w:pPr>
            <w:r>
              <w:rPr>
                <w:rFonts w:ascii="宋体" w:hAnsi="宋体" w:cs="宋体" w:hint="eastAsia"/>
                <w:kern w:val="0"/>
                <w:sz w:val="20"/>
                <w:szCs w:val="20"/>
              </w:rPr>
              <w:t>96%</w:t>
            </w:r>
          </w:p>
        </w:tc>
        <w:tc>
          <w:tcPr>
            <w:tcW w:w="733" w:type="dxa"/>
            <w:tcBorders>
              <w:top w:val="nil"/>
              <w:left w:val="nil"/>
              <w:bottom w:val="single" w:sz="4" w:space="0" w:color="auto"/>
              <w:right w:val="single" w:sz="4" w:space="0" w:color="auto"/>
            </w:tcBorders>
            <w:shd w:val="clear" w:color="auto" w:fill="auto"/>
            <w:noWrap/>
            <w:vAlign w:val="center"/>
          </w:tcPr>
          <w:p w14:paraId="277533FD" w14:textId="77777777" w:rsidR="00BA7812" w:rsidRDefault="00000000">
            <w:pPr>
              <w:widowControl/>
              <w:jc w:val="left"/>
              <w:rPr>
                <w:rFonts w:ascii="宋体" w:hAnsi="宋体" w:cs="宋体" w:hint="eastAsia"/>
                <w:kern w:val="0"/>
                <w:sz w:val="20"/>
                <w:szCs w:val="20"/>
              </w:rPr>
            </w:pPr>
            <w:r>
              <w:rPr>
                <w:rFonts w:ascii="宋体" w:hAnsi="宋体" w:cs="宋体" w:hint="eastAsia"/>
                <w:kern w:val="0"/>
                <w:sz w:val="20"/>
                <w:szCs w:val="20"/>
              </w:rPr>
              <w:t>12</w:t>
            </w:r>
          </w:p>
        </w:tc>
      </w:tr>
      <w:tr w:rsidR="00BA7812" w14:paraId="5FE4A6CE" w14:textId="77777777">
        <w:trPr>
          <w:trHeight w:val="741"/>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43F8E8" w14:textId="77777777" w:rsidR="00BA7812" w:rsidRDefault="00000000">
            <w:pPr>
              <w:widowControl/>
              <w:jc w:val="left"/>
              <w:rPr>
                <w:rFonts w:ascii="宋体" w:hAnsi="宋体" w:cs="宋体" w:hint="eastAsia"/>
                <w:kern w:val="0"/>
                <w:sz w:val="20"/>
                <w:szCs w:val="20"/>
              </w:rPr>
            </w:pPr>
            <w:r>
              <w:rPr>
                <w:rFonts w:ascii="宋体" w:hAnsi="宋体" w:cs="宋体" w:hint="eastAsia"/>
                <w:kern w:val="0"/>
                <w:sz w:val="20"/>
                <w:szCs w:val="20"/>
              </w:rPr>
              <w:t>可持续发展能力</w:t>
            </w:r>
          </w:p>
        </w:tc>
        <w:tc>
          <w:tcPr>
            <w:tcW w:w="1273" w:type="dxa"/>
            <w:vMerge/>
            <w:tcBorders>
              <w:top w:val="nil"/>
              <w:left w:val="single" w:sz="4" w:space="0" w:color="auto"/>
              <w:bottom w:val="single" w:sz="4" w:space="0" w:color="auto"/>
              <w:right w:val="single" w:sz="4" w:space="0" w:color="auto"/>
            </w:tcBorders>
            <w:vAlign w:val="center"/>
          </w:tcPr>
          <w:p w14:paraId="0EB0A531" w14:textId="77777777" w:rsidR="00BA7812" w:rsidRDefault="00BA7812">
            <w:pPr>
              <w:widowControl/>
              <w:jc w:val="left"/>
              <w:rPr>
                <w:rFonts w:ascii="宋体" w:hAnsi="宋体" w:cs="宋体" w:hint="eastAsia"/>
                <w:kern w:val="0"/>
                <w:sz w:val="20"/>
                <w:szCs w:val="20"/>
              </w:rPr>
            </w:pPr>
          </w:p>
        </w:tc>
        <w:tc>
          <w:tcPr>
            <w:tcW w:w="1284" w:type="dxa"/>
            <w:tcBorders>
              <w:top w:val="nil"/>
              <w:left w:val="nil"/>
              <w:bottom w:val="single" w:sz="4" w:space="0" w:color="auto"/>
              <w:right w:val="single" w:sz="4" w:space="0" w:color="auto"/>
            </w:tcBorders>
            <w:shd w:val="clear" w:color="auto" w:fill="auto"/>
            <w:noWrap/>
            <w:vAlign w:val="center"/>
          </w:tcPr>
          <w:p w14:paraId="29BDF22A" w14:textId="77777777" w:rsidR="00BA7812" w:rsidRDefault="00000000">
            <w:pPr>
              <w:widowControl/>
              <w:jc w:val="left"/>
              <w:rPr>
                <w:rFonts w:ascii="宋体" w:hAnsi="宋体" w:cs="宋体" w:hint="eastAsia"/>
                <w:kern w:val="0"/>
                <w:sz w:val="20"/>
                <w:szCs w:val="20"/>
              </w:rPr>
            </w:pPr>
            <w:r>
              <w:rPr>
                <w:rFonts w:ascii="宋体" w:hAnsi="宋体" w:cs="宋体" w:hint="eastAsia"/>
                <w:kern w:val="0"/>
                <w:sz w:val="20"/>
                <w:szCs w:val="20"/>
              </w:rPr>
              <w:t>党务公开、党内监督覆盖率</w:t>
            </w:r>
          </w:p>
        </w:tc>
        <w:tc>
          <w:tcPr>
            <w:tcW w:w="1104" w:type="dxa"/>
            <w:tcBorders>
              <w:top w:val="nil"/>
              <w:left w:val="nil"/>
              <w:bottom w:val="single" w:sz="4" w:space="0" w:color="auto"/>
              <w:right w:val="single" w:sz="4" w:space="0" w:color="auto"/>
            </w:tcBorders>
            <w:shd w:val="clear" w:color="auto" w:fill="auto"/>
            <w:noWrap/>
            <w:vAlign w:val="center"/>
          </w:tcPr>
          <w:p w14:paraId="76FFF2EC" w14:textId="77777777" w:rsidR="00BA7812" w:rsidRDefault="00000000">
            <w:pPr>
              <w:widowControl/>
              <w:jc w:val="left"/>
              <w:rPr>
                <w:rFonts w:ascii="宋体" w:hAnsi="宋体" w:cs="宋体" w:hint="eastAsia"/>
                <w:kern w:val="0"/>
                <w:sz w:val="20"/>
                <w:szCs w:val="20"/>
              </w:rPr>
            </w:pPr>
            <w:r>
              <w:rPr>
                <w:rFonts w:ascii="宋体" w:hAnsi="宋体" w:cs="宋体" w:hint="eastAsia"/>
                <w:kern w:val="0"/>
                <w:sz w:val="20"/>
                <w:szCs w:val="20"/>
              </w:rPr>
              <w:t>&gt;=95%</w:t>
            </w:r>
          </w:p>
        </w:tc>
        <w:tc>
          <w:tcPr>
            <w:tcW w:w="1224" w:type="dxa"/>
            <w:tcBorders>
              <w:top w:val="nil"/>
              <w:left w:val="nil"/>
              <w:bottom w:val="single" w:sz="4" w:space="0" w:color="auto"/>
              <w:right w:val="single" w:sz="4" w:space="0" w:color="auto"/>
            </w:tcBorders>
            <w:shd w:val="clear" w:color="auto" w:fill="auto"/>
            <w:noWrap/>
            <w:vAlign w:val="center"/>
          </w:tcPr>
          <w:p w14:paraId="54173461" w14:textId="77777777" w:rsidR="00BA7812" w:rsidRDefault="00000000">
            <w:pPr>
              <w:widowControl/>
              <w:jc w:val="left"/>
              <w:rPr>
                <w:rFonts w:ascii="宋体" w:hAnsi="宋体" w:cs="宋体" w:hint="eastAsia"/>
                <w:kern w:val="0"/>
                <w:sz w:val="20"/>
                <w:szCs w:val="20"/>
              </w:rPr>
            </w:pPr>
            <w:r>
              <w:rPr>
                <w:rFonts w:ascii="宋体" w:hAnsi="宋体" w:cs="宋体" w:hint="eastAsia"/>
                <w:kern w:val="0"/>
                <w:sz w:val="20"/>
                <w:szCs w:val="20"/>
              </w:rPr>
              <w:t>木垒哈萨克自治县委员会直属机关工作委员2023年工作计划</w:t>
            </w:r>
          </w:p>
        </w:tc>
        <w:tc>
          <w:tcPr>
            <w:tcW w:w="948" w:type="dxa"/>
            <w:tcBorders>
              <w:top w:val="nil"/>
              <w:left w:val="nil"/>
              <w:bottom w:val="single" w:sz="4" w:space="0" w:color="auto"/>
              <w:right w:val="single" w:sz="4" w:space="0" w:color="auto"/>
            </w:tcBorders>
            <w:shd w:val="clear" w:color="auto" w:fill="auto"/>
            <w:noWrap/>
            <w:vAlign w:val="center"/>
          </w:tcPr>
          <w:p w14:paraId="194155C4" w14:textId="77777777" w:rsidR="00BA7812" w:rsidRDefault="00000000">
            <w:pPr>
              <w:widowControl/>
              <w:jc w:val="left"/>
              <w:rPr>
                <w:rFonts w:ascii="宋体" w:hAnsi="宋体" w:cs="宋体" w:hint="eastAsia"/>
                <w:kern w:val="0"/>
                <w:sz w:val="20"/>
                <w:szCs w:val="20"/>
              </w:rPr>
            </w:pPr>
            <w:r>
              <w:rPr>
                <w:rFonts w:ascii="宋体" w:hAnsi="宋体" w:cs="宋体" w:hint="eastAsia"/>
                <w:kern w:val="0"/>
                <w:sz w:val="20"/>
                <w:szCs w:val="20"/>
              </w:rPr>
              <w:t>10</w:t>
            </w:r>
          </w:p>
        </w:tc>
        <w:tc>
          <w:tcPr>
            <w:tcW w:w="996" w:type="dxa"/>
            <w:tcBorders>
              <w:top w:val="nil"/>
              <w:left w:val="nil"/>
              <w:bottom w:val="single" w:sz="4" w:space="0" w:color="auto"/>
              <w:right w:val="single" w:sz="4" w:space="0" w:color="auto"/>
            </w:tcBorders>
            <w:shd w:val="clear" w:color="auto" w:fill="auto"/>
            <w:noWrap/>
            <w:vAlign w:val="center"/>
          </w:tcPr>
          <w:p w14:paraId="7A840296" w14:textId="77777777" w:rsidR="00BA7812" w:rsidRDefault="00000000">
            <w:pPr>
              <w:widowControl/>
              <w:jc w:val="left"/>
              <w:rPr>
                <w:rFonts w:ascii="宋体" w:hAnsi="宋体" w:cs="宋体" w:hint="eastAsia"/>
                <w:kern w:val="0"/>
                <w:sz w:val="20"/>
                <w:szCs w:val="20"/>
              </w:rPr>
            </w:pPr>
            <w:r>
              <w:rPr>
                <w:rFonts w:ascii="宋体" w:hAnsi="宋体" w:cs="宋体" w:hint="eastAsia"/>
                <w:kern w:val="0"/>
                <w:sz w:val="20"/>
                <w:szCs w:val="20"/>
              </w:rPr>
              <w:t>95%</w:t>
            </w:r>
          </w:p>
        </w:tc>
        <w:tc>
          <w:tcPr>
            <w:tcW w:w="733" w:type="dxa"/>
            <w:tcBorders>
              <w:top w:val="nil"/>
              <w:left w:val="nil"/>
              <w:bottom w:val="single" w:sz="4" w:space="0" w:color="auto"/>
              <w:right w:val="single" w:sz="4" w:space="0" w:color="auto"/>
            </w:tcBorders>
            <w:shd w:val="clear" w:color="auto" w:fill="auto"/>
            <w:noWrap/>
            <w:vAlign w:val="center"/>
          </w:tcPr>
          <w:p w14:paraId="35643226" w14:textId="77777777" w:rsidR="00BA7812" w:rsidRDefault="00000000">
            <w:pPr>
              <w:widowControl/>
              <w:jc w:val="left"/>
              <w:rPr>
                <w:rFonts w:ascii="宋体" w:hAnsi="宋体" w:cs="宋体" w:hint="eastAsia"/>
                <w:kern w:val="0"/>
                <w:sz w:val="20"/>
                <w:szCs w:val="20"/>
              </w:rPr>
            </w:pPr>
            <w:r>
              <w:rPr>
                <w:rFonts w:ascii="宋体" w:hAnsi="宋体" w:cs="宋体" w:hint="eastAsia"/>
                <w:kern w:val="0"/>
                <w:sz w:val="20"/>
                <w:szCs w:val="20"/>
              </w:rPr>
              <w:t>10</w:t>
            </w:r>
          </w:p>
        </w:tc>
      </w:tr>
      <w:tr w:rsidR="00BA7812" w14:paraId="568EC7D0" w14:textId="77777777">
        <w:trPr>
          <w:trHeight w:val="741"/>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E02638" w14:textId="77777777" w:rsidR="00BA7812" w:rsidRDefault="00000000">
            <w:pPr>
              <w:widowControl/>
              <w:jc w:val="left"/>
              <w:rPr>
                <w:rFonts w:ascii="宋体" w:hAnsi="宋体" w:cs="宋体" w:hint="eastAsia"/>
                <w:kern w:val="0"/>
                <w:sz w:val="20"/>
                <w:szCs w:val="20"/>
              </w:rPr>
            </w:pPr>
            <w:r>
              <w:rPr>
                <w:rFonts w:ascii="宋体" w:hAnsi="宋体" w:cs="宋体" w:hint="eastAsia"/>
                <w:kern w:val="0"/>
                <w:sz w:val="20"/>
                <w:szCs w:val="20"/>
              </w:rPr>
              <w:t>服务对象满意度</w:t>
            </w:r>
          </w:p>
        </w:tc>
        <w:tc>
          <w:tcPr>
            <w:tcW w:w="1273" w:type="dxa"/>
            <w:tcBorders>
              <w:top w:val="nil"/>
              <w:left w:val="nil"/>
              <w:bottom w:val="single" w:sz="4" w:space="0" w:color="auto"/>
              <w:right w:val="single" w:sz="4" w:space="0" w:color="auto"/>
            </w:tcBorders>
            <w:shd w:val="clear" w:color="auto" w:fill="auto"/>
            <w:noWrap/>
            <w:vAlign w:val="center"/>
          </w:tcPr>
          <w:p w14:paraId="6F271612" w14:textId="77777777" w:rsidR="00BA7812"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1284" w:type="dxa"/>
            <w:tcBorders>
              <w:top w:val="nil"/>
              <w:left w:val="nil"/>
              <w:bottom w:val="single" w:sz="4" w:space="0" w:color="auto"/>
              <w:right w:val="single" w:sz="4" w:space="0" w:color="auto"/>
            </w:tcBorders>
            <w:shd w:val="clear" w:color="auto" w:fill="auto"/>
            <w:noWrap/>
            <w:vAlign w:val="center"/>
          </w:tcPr>
          <w:p w14:paraId="4986A7AD" w14:textId="77777777" w:rsidR="00BA7812"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1104" w:type="dxa"/>
            <w:tcBorders>
              <w:top w:val="nil"/>
              <w:left w:val="nil"/>
              <w:bottom w:val="single" w:sz="4" w:space="0" w:color="auto"/>
              <w:right w:val="single" w:sz="4" w:space="0" w:color="auto"/>
            </w:tcBorders>
            <w:shd w:val="clear" w:color="auto" w:fill="auto"/>
            <w:noWrap/>
            <w:vAlign w:val="center"/>
          </w:tcPr>
          <w:p w14:paraId="4DDB6A7E" w14:textId="77777777" w:rsidR="00BA7812"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1224" w:type="dxa"/>
            <w:tcBorders>
              <w:top w:val="nil"/>
              <w:left w:val="nil"/>
              <w:bottom w:val="single" w:sz="4" w:space="0" w:color="auto"/>
              <w:right w:val="single" w:sz="4" w:space="0" w:color="auto"/>
            </w:tcBorders>
            <w:shd w:val="clear" w:color="auto" w:fill="auto"/>
            <w:noWrap/>
            <w:vAlign w:val="center"/>
          </w:tcPr>
          <w:p w14:paraId="75914B06" w14:textId="77777777" w:rsidR="00BA7812"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948" w:type="dxa"/>
            <w:tcBorders>
              <w:top w:val="nil"/>
              <w:left w:val="nil"/>
              <w:bottom w:val="single" w:sz="4" w:space="0" w:color="auto"/>
              <w:right w:val="single" w:sz="4" w:space="0" w:color="auto"/>
            </w:tcBorders>
            <w:shd w:val="clear" w:color="auto" w:fill="auto"/>
            <w:noWrap/>
            <w:vAlign w:val="center"/>
          </w:tcPr>
          <w:p w14:paraId="61F80A8E" w14:textId="77777777" w:rsidR="00BA7812"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996" w:type="dxa"/>
            <w:tcBorders>
              <w:top w:val="nil"/>
              <w:left w:val="nil"/>
              <w:bottom w:val="single" w:sz="4" w:space="0" w:color="auto"/>
              <w:right w:val="single" w:sz="4" w:space="0" w:color="auto"/>
            </w:tcBorders>
            <w:shd w:val="clear" w:color="auto" w:fill="auto"/>
            <w:noWrap/>
            <w:vAlign w:val="center"/>
          </w:tcPr>
          <w:p w14:paraId="03B9E0A7" w14:textId="77777777" w:rsidR="00BA7812"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733" w:type="dxa"/>
            <w:tcBorders>
              <w:top w:val="nil"/>
              <w:left w:val="nil"/>
              <w:bottom w:val="single" w:sz="4" w:space="0" w:color="auto"/>
              <w:right w:val="single" w:sz="4" w:space="0" w:color="auto"/>
            </w:tcBorders>
            <w:shd w:val="clear" w:color="auto" w:fill="auto"/>
            <w:noWrap/>
            <w:vAlign w:val="center"/>
          </w:tcPr>
          <w:p w14:paraId="0CEC0BD6" w14:textId="77777777" w:rsidR="00BA7812"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r>
    </w:tbl>
    <w:p w14:paraId="3E9463CF" w14:textId="77777777" w:rsidR="00BA7812" w:rsidRDefault="00000000">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t>十二、其他需说明的事项</w:t>
      </w:r>
    </w:p>
    <w:p w14:paraId="5DC5CF98" w14:textId="2C56D3A1" w:rsidR="00BA7812" w:rsidRDefault="00000000">
      <w:pPr>
        <w:ind w:firstLineChars="200" w:firstLine="640"/>
        <w:jc w:val="lef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我单位本年资金紧张未购买办公用品及设备。因此政府采购金额支出为0</w:t>
      </w:r>
      <w:r w:rsidR="003A2F91">
        <w:rPr>
          <w:rFonts w:ascii="仿宋_GB2312" w:eastAsia="仿宋_GB2312" w:hAnsi="仿宋_GB2312" w:cs="仿宋_GB2312" w:hint="eastAsia"/>
          <w:kern w:val="0"/>
          <w:sz w:val="32"/>
          <w:szCs w:val="32"/>
        </w:rPr>
        <w:t>.00</w:t>
      </w:r>
      <w:r>
        <w:rPr>
          <w:rFonts w:ascii="仿宋_GB2312" w:eastAsia="仿宋_GB2312" w:hAnsi="仿宋_GB2312" w:cs="仿宋_GB2312" w:hint="eastAsia"/>
          <w:kern w:val="0"/>
          <w:sz w:val="32"/>
          <w:szCs w:val="32"/>
        </w:rPr>
        <w:t>万元。其中授予中小企业合同金额、授予小</w:t>
      </w:r>
      <w:proofErr w:type="gramStart"/>
      <w:r>
        <w:rPr>
          <w:rFonts w:ascii="仿宋_GB2312" w:eastAsia="仿宋_GB2312" w:hAnsi="仿宋_GB2312" w:cs="仿宋_GB2312" w:hint="eastAsia"/>
          <w:kern w:val="0"/>
          <w:sz w:val="32"/>
          <w:szCs w:val="32"/>
        </w:rPr>
        <w:t>微企业</w:t>
      </w:r>
      <w:proofErr w:type="gramEnd"/>
      <w:r>
        <w:rPr>
          <w:rFonts w:ascii="仿宋_GB2312" w:eastAsia="仿宋_GB2312" w:hAnsi="仿宋_GB2312" w:cs="仿宋_GB2312" w:hint="eastAsia"/>
          <w:kern w:val="0"/>
          <w:sz w:val="32"/>
          <w:szCs w:val="32"/>
        </w:rPr>
        <w:t>合同金额为0</w:t>
      </w:r>
      <w:r w:rsidR="003A2F91">
        <w:rPr>
          <w:rFonts w:ascii="仿宋_GB2312" w:eastAsia="仿宋_GB2312" w:hAnsi="仿宋_GB2312" w:cs="仿宋_GB2312" w:hint="eastAsia"/>
          <w:kern w:val="0"/>
          <w:sz w:val="32"/>
          <w:szCs w:val="32"/>
        </w:rPr>
        <w:t>.00</w:t>
      </w:r>
      <w:r>
        <w:rPr>
          <w:rFonts w:ascii="仿宋_GB2312" w:eastAsia="仿宋_GB2312" w:hAnsi="仿宋_GB2312" w:cs="仿宋_GB2312" w:hint="eastAsia"/>
          <w:kern w:val="0"/>
          <w:sz w:val="32"/>
          <w:szCs w:val="32"/>
        </w:rPr>
        <w:t>万元。</w:t>
      </w:r>
    </w:p>
    <w:p w14:paraId="08B9DA6E" w14:textId="77777777" w:rsidR="00BA7812" w:rsidRDefault="00000000">
      <w:pPr>
        <w:jc w:val="center"/>
        <w:outlineLvl w:val="0"/>
        <w:rPr>
          <w:rFonts w:ascii="黑体" w:eastAsia="黑体" w:hAnsi="黑体" w:hint="eastAsia"/>
          <w:sz w:val="32"/>
          <w:szCs w:val="32"/>
        </w:rPr>
      </w:pPr>
      <w:bookmarkStart w:id="31" w:name="_Toc3250"/>
      <w:bookmarkStart w:id="32" w:name="_Toc24143"/>
      <w:r>
        <w:rPr>
          <w:rFonts w:ascii="黑体" w:eastAsia="黑体" w:hAnsi="黑体" w:hint="eastAsia"/>
          <w:sz w:val="32"/>
          <w:szCs w:val="32"/>
        </w:rPr>
        <w:br w:type="page"/>
      </w:r>
      <w:r>
        <w:rPr>
          <w:rFonts w:ascii="黑体" w:eastAsia="黑体" w:hAnsi="黑体" w:hint="eastAsia"/>
          <w:sz w:val="32"/>
          <w:szCs w:val="32"/>
        </w:rPr>
        <w:lastRenderedPageBreak/>
        <w:t>第三部分 专业名词解释</w:t>
      </w:r>
      <w:bookmarkEnd w:id="31"/>
      <w:bookmarkEnd w:id="32"/>
    </w:p>
    <w:p w14:paraId="5CFD6A20" w14:textId="77777777" w:rsidR="00BA7812"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00DD485D" w14:textId="77777777" w:rsidR="00BA7812"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442DB921" w14:textId="77777777" w:rsidR="00BA7812"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2923FA50" w14:textId="77777777" w:rsidR="00BA7812"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64468D67" w14:textId="77777777" w:rsidR="00BA7812"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14:paraId="01AB870E" w14:textId="77777777" w:rsidR="00BA7812"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2C68E760" w14:textId="77777777" w:rsidR="00BA7812"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4F8105B3" w14:textId="77777777" w:rsidR="00BA7812"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23C47ADF" w14:textId="77777777" w:rsidR="00BA7812"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14:paraId="43AA847E" w14:textId="77777777" w:rsidR="00BA7812"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7FA9BA8C" w14:textId="77777777" w:rsidR="00BA7812"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2D6698D4" w14:textId="77777777" w:rsidR="00BA7812"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14:paraId="5401BC2E" w14:textId="77777777" w:rsidR="00BA7812"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单位公务出国（境）的国际旅费、国外城市间交通费、住宿费、伙食费、培训费、公杂费等支出；公务用车购置</w:t>
      </w:r>
      <w:proofErr w:type="gramStart"/>
      <w:r>
        <w:rPr>
          <w:rFonts w:ascii="仿宋_GB2312" w:eastAsia="仿宋_GB2312" w:hint="eastAsia"/>
          <w:sz w:val="32"/>
          <w:szCs w:val="32"/>
        </w:rPr>
        <w:t>费反映</w:t>
      </w:r>
      <w:proofErr w:type="gramEnd"/>
      <w:r>
        <w:rPr>
          <w:rFonts w:ascii="仿宋_GB2312" w:eastAsia="仿宋_GB2312" w:hint="eastAsia"/>
          <w:sz w:val="32"/>
          <w:szCs w:val="32"/>
        </w:rPr>
        <w:t>公务用车购置支出（</w:t>
      </w:r>
      <w:proofErr w:type="gramStart"/>
      <w:r>
        <w:rPr>
          <w:rFonts w:ascii="仿宋_GB2312" w:eastAsia="仿宋_GB2312" w:hint="eastAsia"/>
          <w:sz w:val="32"/>
          <w:szCs w:val="32"/>
        </w:rPr>
        <w:t>含车辆</w:t>
      </w:r>
      <w:proofErr w:type="gramEnd"/>
      <w:r>
        <w:rPr>
          <w:rFonts w:ascii="仿宋_GB2312" w:eastAsia="仿宋_GB2312" w:hint="eastAsia"/>
          <w:sz w:val="32"/>
          <w:szCs w:val="32"/>
        </w:rPr>
        <w:t>购置税、牌照费）；公务用车运行维护费反映单位按规定保留的公务用车燃料费、维修费、过路过桥费、保险费、安全奖励费用等支出；公务接待</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单位按规定开支的各类公务接待（含外宾接待）费用。</w:t>
      </w:r>
    </w:p>
    <w:p w14:paraId="619D0F45" w14:textId="77777777" w:rsidR="00BA7812" w:rsidRDefault="00000000">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615FACBF" w14:textId="77777777" w:rsidR="00BA7812" w:rsidRDefault="00000000">
      <w:pPr>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14:paraId="2E72FDB2" w14:textId="77777777" w:rsidR="00BA7812" w:rsidRDefault="00000000">
      <w:pPr>
        <w:ind w:firstLineChars="200" w:firstLine="640"/>
        <w:outlineLvl w:val="1"/>
        <w:rPr>
          <w:rFonts w:ascii="黑体" w:eastAsia="仿宋_GB2312" w:hAnsi="黑体" w:cs="宋体" w:hint="eastAsia"/>
          <w:bCs/>
          <w:kern w:val="0"/>
          <w:sz w:val="32"/>
          <w:szCs w:val="32"/>
        </w:rPr>
      </w:pPr>
      <w:bookmarkStart w:id="33" w:name="_Toc6062"/>
      <w:bookmarkStart w:id="34" w:name="_Toc2183"/>
      <w:r>
        <w:rPr>
          <w:rFonts w:ascii="黑体" w:eastAsia="仿宋_GB2312" w:hAnsi="黑体" w:cs="宋体" w:hint="eastAsia"/>
          <w:bCs/>
          <w:kern w:val="0"/>
          <w:sz w:val="32"/>
          <w:szCs w:val="32"/>
        </w:rPr>
        <w:t>一、《收入支出决算总表》</w:t>
      </w:r>
      <w:bookmarkEnd w:id="33"/>
      <w:bookmarkEnd w:id="34"/>
    </w:p>
    <w:p w14:paraId="0C7B5522" w14:textId="77777777" w:rsidR="00BA7812" w:rsidRDefault="00000000">
      <w:pPr>
        <w:ind w:firstLineChars="200" w:firstLine="640"/>
        <w:outlineLvl w:val="1"/>
        <w:rPr>
          <w:rFonts w:ascii="黑体" w:eastAsia="仿宋_GB2312" w:hAnsi="黑体" w:cs="宋体" w:hint="eastAsia"/>
          <w:bCs/>
          <w:kern w:val="0"/>
          <w:sz w:val="32"/>
          <w:szCs w:val="32"/>
        </w:rPr>
      </w:pPr>
      <w:bookmarkStart w:id="35" w:name="_Toc30364"/>
      <w:bookmarkStart w:id="36" w:name="_Toc24532"/>
      <w:r>
        <w:rPr>
          <w:rFonts w:ascii="黑体" w:eastAsia="仿宋_GB2312" w:hAnsi="黑体" w:cs="宋体" w:hint="eastAsia"/>
          <w:bCs/>
          <w:kern w:val="0"/>
          <w:sz w:val="32"/>
          <w:szCs w:val="32"/>
        </w:rPr>
        <w:t>二、《收入决算表》</w:t>
      </w:r>
      <w:bookmarkEnd w:id="35"/>
      <w:bookmarkEnd w:id="36"/>
    </w:p>
    <w:p w14:paraId="727DA70E" w14:textId="77777777" w:rsidR="00BA7812" w:rsidRDefault="00000000">
      <w:pPr>
        <w:ind w:firstLineChars="200" w:firstLine="640"/>
        <w:outlineLvl w:val="1"/>
        <w:rPr>
          <w:rFonts w:ascii="黑体" w:eastAsia="仿宋_GB2312" w:hAnsi="黑体" w:cs="宋体" w:hint="eastAsia"/>
          <w:bCs/>
          <w:kern w:val="0"/>
          <w:sz w:val="32"/>
          <w:szCs w:val="32"/>
        </w:rPr>
      </w:pPr>
      <w:bookmarkStart w:id="37" w:name="_Toc32434"/>
      <w:bookmarkStart w:id="38" w:name="_Toc21304"/>
      <w:r>
        <w:rPr>
          <w:rFonts w:ascii="黑体" w:eastAsia="仿宋_GB2312" w:hAnsi="黑体" w:cs="宋体" w:hint="eastAsia"/>
          <w:bCs/>
          <w:kern w:val="0"/>
          <w:sz w:val="32"/>
          <w:szCs w:val="32"/>
        </w:rPr>
        <w:t>三、《支出决算表》</w:t>
      </w:r>
      <w:bookmarkEnd w:id="37"/>
      <w:bookmarkEnd w:id="38"/>
    </w:p>
    <w:p w14:paraId="597EBCA5" w14:textId="77777777" w:rsidR="00BA7812" w:rsidRDefault="00000000">
      <w:pPr>
        <w:ind w:firstLineChars="200" w:firstLine="640"/>
        <w:outlineLvl w:val="1"/>
        <w:rPr>
          <w:rFonts w:ascii="黑体" w:eastAsia="仿宋_GB2312" w:hAnsi="黑体" w:cs="宋体" w:hint="eastAsia"/>
          <w:bCs/>
          <w:kern w:val="0"/>
          <w:sz w:val="32"/>
          <w:szCs w:val="32"/>
        </w:rPr>
      </w:pPr>
      <w:bookmarkStart w:id="39" w:name="_Toc14238"/>
      <w:bookmarkStart w:id="40" w:name="_Toc28786"/>
      <w:r>
        <w:rPr>
          <w:rFonts w:ascii="黑体" w:eastAsia="仿宋_GB2312" w:hAnsi="黑体" w:cs="宋体" w:hint="eastAsia"/>
          <w:bCs/>
          <w:kern w:val="0"/>
          <w:sz w:val="32"/>
          <w:szCs w:val="32"/>
        </w:rPr>
        <w:t>四、《财政拨款收入支出决算总表》</w:t>
      </w:r>
      <w:bookmarkEnd w:id="39"/>
      <w:bookmarkEnd w:id="40"/>
    </w:p>
    <w:p w14:paraId="6E17E9D1" w14:textId="77777777" w:rsidR="00BA7812" w:rsidRDefault="00000000">
      <w:pPr>
        <w:ind w:firstLineChars="200" w:firstLine="640"/>
        <w:outlineLvl w:val="1"/>
        <w:rPr>
          <w:rFonts w:ascii="黑体" w:eastAsia="仿宋_GB2312" w:hAnsi="黑体" w:cs="宋体" w:hint="eastAsia"/>
          <w:bCs/>
          <w:kern w:val="0"/>
          <w:sz w:val="32"/>
          <w:szCs w:val="32"/>
        </w:rPr>
      </w:pPr>
      <w:bookmarkStart w:id="41" w:name="_Toc14869"/>
      <w:bookmarkStart w:id="42" w:name="_Toc10347"/>
      <w:r>
        <w:rPr>
          <w:rFonts w:ascii="黑体" w:eastAsia="仿宋_GB2312" w:hAnsi="黑体" w:cs="宋体" w:hint="eastAsia"/>
          <w:bCs/>
          <w:kern w:val="0"/>
          <w:sz w:val="32"/>
          <w:szCs w:val="32"/>
        </w:rPr>
        <w:t>五、《一般公共预算财政拨款支出决算表》</w:t>
      </w:r>
      <w:bookmarkEnd w:id="41"/>
      <w:bookmarkEnd w:id="42"/>
    </w:p>
    <w:p w14:paraId="2671FC00" w14:textId="77777777" w:rsidR="00BA7812" w:rsidRDefault="00000000">
      <w:pPr>
        <w:ind w:firstLineChars="200" w:firstLine="640"/>
        <w:outlineLvl w:val="1"/>
        <w:rPr>
          <w:rFonts w:ascii="黑体" w:eastAsia="仿宋_GB2312" w:hAnsi="黑体" w:cs="宋体" w:hint="eastAsia"/>
          <w:bCs/>
          <w:kern w:val="0"/>
          <w:sz w:val="32"/>
          <w:szCs w:val="32"/>
        </w:rPr>
      </w:pPr>
      <w:bookmarkStart w:id="43" w:name="_Toc5626"/>
      <w:bookmarkStart w:id="44" w:name="_Toc8884"/>
      <w:r>
        <w:rPr>
          <w:rFonts w:ascii="黑体" w:eastAsia="仿宋_GB2312" w:hAnsi="黑体" w:cs="宋体" w:hint="eastAsia"/>
          <w:bCs/>
          <w:kern w:val="0"/>
          <w:sz w:val="32"/>
          <w:szCs w:val="32"/>
        </w:rPr>
        <w:t>六、《一般公共预算财政拨款基本支出决算表》</w:t>
      </w:r>
      <w:bookmarkEnd w:id="43"/>
      <w:bookmarkEnd w:id="44"/>
    </w:p>
    <w:p w14:paraId="7DDD5640" w14:textId="77777777" w:rsidR="00BA7812"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45" w:name="_Toc29106"/>
      <w:bookmarkStart w:id="46" w:name="_Toc32663"/>
      <w:r>
        <w:rPr>
          <w:rFonts w:ascii="黑体" w:eastAsia="仿宋_GB2312" w:hAnsi="黑体" w:cs="宋体" w:hint="eastAsia"/>
          <w:bCs/>
          <w:kern w:val="0"/>
          <w:sz w:val="32"/>
          <w:szCs w:val="32"/>
        </w:rPr>
        <w:t>《财政拨款“三公”经费支出决算表》</w:t>
      </w:r>
      <w:bookmarkEnd w:id="45"/>
      <w:bookmarkEnd w:id="46"/>
    </w:p>
    <w:p w14:paraId="2F42D5AE" w14:textId="77777777" w:rsidR="00BA7812" w:rsidRDefault="00000000">
      <w:pPr>
        <w:ind w:firstLineChars="200" w:firstLine="640"/>
        <w:outlineLvl w:val="1"/>
        <w:rPr>
          <w:rFonts w:ascii="黑体" w:eastAsia="仿宋_GB2312" w:hAnsi="黑体" w:cs="宋体" w:hint="eastAsia"/>
          <w:bCs/>
          <w:kern w:val="0"/>
          <w:sz w:val="32"/>
          <w:szCs w:val="32"/>
        </w:rPr>
      </w:pPr>
      <w:bookmarkStart w:id="47" w:name="_Toc5453"/>
      <w:bookmarkStart w:id="48" w:name="_Toc7643"/>
      <w:r>
        <w:rPr>
          <w:rFonts w:ascii="黑体" w:eastAsia="仿宋_GB2312" w:hAnsi="黑体" w:cs="宋体" w:hint="eastAsia"/>
          <w:bCs/>
          <w:kern w:val="0"/>
          <w:sz w:val="32"/>
          <w:szCs w:val="32"/>
        </w:rPr>
        <w:t>八、《政府性基金预算财政拨款收入支出决算表》</w:t>
      </w:r>
      <w:bookmarkEnd w:id="47"/>
      <w:bookmarkEnd w:id="48"/>
    </w:p>
    <w:p w14:paraId="320C3493" w14:textId="77777777" w:rsidR="00BA7812"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14:paraId="1949C65E" w14:textId="77777777" w:rsidR="00BA7812" w:rsidRDefault="00BA7812">
      <w:pPr>
        <w:ind w:firstLineChars="200" w:firstLine="640"/>
        <w:rPr>
          <w:rFonts w:ascii="仿宋_GB2312" w:eastAsia="仿宋_GB2312"/>
          <w:sz w:val="32"/>
          <w:szCs w:val="32"/>
        </w:rPr>
      </w:pPr>
    </w:p>
    <w:p w14:paraId="3E4BCB41" w14:textId="77777777" w:rsidR="00BA7812" w:rsidRDefault="00BA7812">
      <w:pPr>
        <w:ind w:firstLineChars="200" w:firstLine="640"/>
        <w:outlineLvl w:val="1"/>
        <w:rPr>
          <w:rFonts w:ascii="黑体" w:eastAsia="黑体" w:hAnsi="黑体" w:cs="宋体" w:hint="eastAsia"/>
          <w:bCs/>
          <w:kern w:val="0"/>
          <w:sz w:val="32"/>
          <w:szCs w:val="32"/>
        </w:rPr>
      </w:pPr>
    </w:p>
    <w:sectPr w:rsidR="00BA7812">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21C283A" w14:textId="77777777" w:rsidR="009C7052" w:rsidRDefault="009C7052">
      <w:r>
        <w:separator/>
      </w:r>
    </w:p>
  </w:endnote>
  <w:endnote w:type="continuationSeparator" w:id="0">
    <w:p w14:paraId="7925FFBC" w14:textId="77777777" w:rsidR="009C7052" w:rsidRDefault="009C70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0B7D0C" w14:textId="77777777" w:rsidR="00BA7812" w:rsidRDefault="00000000">
    <w:pPr>
      <w:pStyle w:val="a4"/>
    </w:pPr>
    <w:r>
      <w:rPr>
        <w:noProof/>
      </w:rPr>
      <mc:AlternateContent>
        <mc:Choice Requires="wps">
          <w:drawing>
            <wp:anchor distT="0" distB="0" distL="114300" distR="114300" simplePos="0" relativeHeight="251659264" behindDoc="0" locked="0" layoutInCell="1" allowOverlap="1" wp14:anchorId="1D0FB33B" wp14:editId="7E5B902F">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9B74C4B" w14:textId="77777777" w:rsidR="00BA7812"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1D0FB33B"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19B74C4B" w14:textId="77777777" w:rsidR="00BA7812"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0A62C44" w14:textId="77777777" w:rsidR="009C7052" w:rsidRDefault="009C7052">
      <w:r>
        <w:separator/>
      </w:r>
    </w:p>
  </w:footnote>
  <w:footnote w:type="continuationSeparator" w:id="0">
    <w:p w14:paraId="35D0B310" w14:textId="77777777" w:rsidR="009C7052" w:rsidRDefault="009C70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7551749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YzZhZGRhY2RiODFjZjAzZDFlMmZkYzIxMjU0YWNlNWYifQ=="/>
    <w:docVar w:name="KSO_WPS_MARK_KEY" w:val="41ee2a61-2d54-4f93-83be-afdb9a40d732"/>
  </w:docVars>
  <w:rsids>
    <w:rsidRoot w:val="00FB19DE"/>
    <w:rsid w:val="0007722A"/>
    <w:rsid w:val="001F20C7"/>
    <w:rsid w:val="00205D05"/>
    <w:rsid w:val="00213C59"/>
    <w:rsid w:val="003210CE"/>
    <w:rsid w:val="003A2F91"/>
    <w:rsid w:val="003A3015"/>
    <w:rsid w:val="0078238C"/>
    <w:rsid w:val="009C7052"/>
    <w:rsid w:val="00B70D59"/>
    <w:rsid w:val="00BA7812"/>
    <w:rsid w:val="00C35277"/>
    <w:rsid w:val="00CB683B"/>
    <w:rsid w:val="00EE64AA"/>
    <w:rsid w:val="00F52A8D"/>
    <w:rsid w:val="00FB19DE"/>
    <w:rsid w:val="00FB26BA"/>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6577AD"/>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EC37310"/>
  <w15:docId w15:val="{D7928E33-2685-4715-B7BA-89A48965EE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64</TotalTime>
  <Pages>18</Pages>
  <Words>1235</Words>
  <Characters>7046</Characters>
  <Application>Microsoft Office Word</Application>
  <DocSecurity>0</DocSecurity>
  <Lines>58</Lines>
  <Paragraphs>16</Paragraphs>
  <ScaleCrop>false</ScaleCrop>
  <Company/>
  <LinksUpToDate>false</LinksUpToDate>
  <CharactersWithSpaces>8265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office</cp:lastModifiedBy>
  <cp:revision>4</cp:revision>
  <dcterms:created xsi:type="dcterms:W3CDTF">2014-10-29T12:08:00Z</dcterms:created>
  <dcterms:modified xsi:type="dcterms:W3CDTF">2024-09-02T10:07:00Z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D624B15633CD43C8BF9435464A96BF70</vt:lpwstr>
  </property>
</Properties>
</file>